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79" w:rsidRPr="00B52715" w:rsidRDefault="00267CA5" w:rsidP="00B52715">
      <w:pPr>
        <w:widowControl/>
        <w:spacing w:line="245" w:lineRule="auto"/>
        <w:jc w:val="center"/>
        <w:rPr>
          <w:b/>
          <w:sz w:val="26"/>
        </w:rPr>
      </w:pPr>
      <w:r w:rsidRPr="00B52715">
        <w:rPr>
          <w:b/>
          <w:sz w:val="26"/>
        </w:rPr>
        <w:t>Об изменении потребительских цен</w:t>
      </w:r>
    </w:p>
    <w:p w:rsidR="006C6B79" w:rsidRPr="00B52715" w:rsidRDefault="00267CA5" w:rsidP="00B52715">
      <w:pPr>
        <w:widowControl/>
        <w:spacing w:line="245" w:lineRule="auto"/>
        <w:jc w:val="center"/>
        <w:rPr>
          <w:b/>
          <w:sz w:val="26"/>
        </w:rPr>
      </w:pPr>
      <w:r w:rsidRPr="00B52715">
        <w:rPr>
          <w:b/>
          <w:sz w:val="26"/>
        </w:rPr>
        <w:t>на товары и услуги в Мурманской области</w:t>
      </w:r>
    </w:p>
    <w:p w:rsidR="006C6B79" w:rsidRPr="00B52715" w:rsidRDefault="00267CA5" w:rsidP="00B52715">
      <w:pPr>
        <w:widowControl/>
        <w:spacing w:line="245" w:lineRule="auto"/>
        <w:jc w:val="center"/>
        <w:rPr>
          <w:b/>
          <w:sz w:val="26"/>
        </w:rPr>
      </w:pPr>
      <w:r w:rsidRPr="00B52715">
        <w:rPr>
          <w:b/>
          <w:sz w:val="26"/>
        </w:rPr>
        <w:t xml:space="preserve">в </w:t>
      </w:r>
      <w:r w:rsidR="00873878" w:rsidRPr="00B52715">
        <w:rPr>
          <w:b/>
          <w:sz w:val="26"/>
        </w:rPr>
        <w:t>дека</w:t>
      </w:r>
      <w:r w:rsidRPr="00B52715">
        <w:rPr>
          <w:b/>
          <w:sz w:val="26"/>
        </w:rPr>
        <w:t>бре 202</w:t>
      </w:r>
      <w:r w:rsidR="00A90721" w:rsidRPr="00B52715">
        <w:rPr>
          <w:b/>
          <w:sz w:val="26"/>
        </w:rPr>
        <w:t>1</w:t>
      </w:r>
      <w:r w:rsidRPr="00B52715">
        <w:rPr>
          <w:b/>
          <w:sz w:val="26"/>
        </w:rPr>
        <w:t xml:space="preserve"> года</w:t>
      </w:r>
    </w:p>
    <w:p w:rsidR="006C6B79" w:rsidRDefault="006C6B79" w:rsidP="0040059E">
      <w:pPr>
        <w:widowControl/>
        <w:spacing w:line="245" w:lineRule="auto"/>
        <w:jc w:val="both"/>
        <w:rPr>
          <w:sz w:val="22"/>
        </w:rPr>
      </w:pPr>
    </w:p>
    <w:p w:rsidR="006C6B79" w:rsidRDefault="006C6B79" w:rsidP="0040059E">
      <w:pPr>
        <w:widowControl/>
        <w:spacing w:line="245" w:lineRule="auto"/>
        <w:jc w:val="both"/>
        <w:rPr>
          <w:sz w:val="22"/>
        </w:rPr>
      </w:pPr>
    </w:p>
    <w:p w:rsidR="006C6B79" w:rsidRDefault="00267CA5" w:rsidP="0040059E">
      <w:pPr>
        <w:widowControl/>
        <w:spacing w:line="245" w:lineRule="auto"/>
        <w:ind w:firstLine="720"/>
        <w:jc w:val="both"/>
        <w:rPr>
          <w:sz w:val="26"/>
        </w:rPr>
      </w:pPr>
      <w:r>
        <w:rPr>
          <w:sz w:val="26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6C6B79" w:rsidRDefault="00267CA5" w:rsidP="0040059E">
      <w:pPr>
        <w:widowControl/>
        <w:spacing w:before="80" w:line="245" w:lineRule="auto"/>
        <w:jc w:val="right"/>
        <w:rPr>
          <w:sz w:val="20"/>
        </w:rPr>
      </w:pPr>
      <w:r>
        <w:rPr>
          <w:sz w:val="20"/>
        </w:rPr>
        <w:t xml:space="preserve"> (в процентах)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2268"/>
        <w:gridCol w:w="2409"/>
        <w:gridCol w:w="1418"/>
      </w:tblGrid>
      <w:tr w:rsidR="006C6B79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widowControl/>
              <w:spacing w:line="245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40059E">
            <w:pPr>
              <w:widowControl/>
              <w:spacing w:line="245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Все товары </w:t>
            </w:r>
          </w:p>
          <w:p w:rsidR="006C6B79" w:rsidRDefault="00267CA5" w:rsidP="0040059E">
            <w:pPr>
              <w:widowControl/>
              <w:spacing w:line="245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40059E">
            <w:pPr>
              <w:widowControl/>
              <w:spacing w:line="245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</w:t>
            </w:r>
          </w:p>
        </w:tc>
      </w:tr>
      <w:tr w:rsidR="006C6B7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spacing w:line="245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spacing w:line="245" w:lineRule="auto"/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40059E">
            <w:pPr>
              <w:widowControl/>
              <w:spacing w:line="245" w:lineRule="auto"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40059E">
            <w:pPr>
              <w:widowControl/>
              <w:tabs>
                <w:tab w:val="left" w:pos="939"/>
              </w:tabs>
              <w:spacing w:line="245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услуги</w:t>
            </w:r>
          </w:p>
        </w:tc>
      </w:tr>
      <w:tr w:rsidR="006C6B7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spacing w:line="245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spacing w:line="245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40059E">
            <w:pPr>
              <w:widowControl/>
              <w:spacing w:line="245" w:lineRule="auto"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40059E">
            <w:pPr>
              <w:widowControl/>
              <w:spacing w:line="245" w:lineRule="auto"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spacing w:line="245" w:lineRule="auto"/>
            </w:pPr>
          </w:p>
        </w:tc>
      </w:tr>
      <w:tr w:rsidR="006C6B79"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6B79" w:rsidRDefault="00873878" w:rsidP="0040059E">
            <w:pPr>
              <w:widowControl/>
              <w:spacing w:before="120" w:line="245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Декабрь</w:t>
            </w:r>
            <w:r w:rsidR="00267CA5">
              <w:rPr>
                <w:spacing w:val="-2"/>
              </w:rPr>
              <w:t xml:space="preserve"> 202</w:t>
            </w:r>
            <w:r w:rsidR="00905F42">
              <w:rPr>
                <w:spacing w:val="-2"/>
                <w:lang w:val="en-US"/>
              </w:rPr>
              <w:t xml:space="preserve">1 </w:t>
            </w:r>
            <w:r w:rsidR="00267CA5">
              <w:rPr>
                <w:spacing w:val="-2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widowControl/>
              <w:spacing w:before="120" w:line="245" w:lineRule="auto"/>
              <w:ind w:left="-108" w:right="318"/>
              <w:jc w:val="center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widowControl/>
              <w:spacing w:before="120" w:line="245" w:lineRule="auto"/>
              <w:ind w:left="-108" w:right="601"/>
              <w:jc w:val="center"/>
              <w:rPr>
                <w:spacing w:val="-2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widowControl/>
              <w:spacing w:before="120" w:line="245" w:lineRule="auto"/>
              <w:ind w:left="-108" w:right="742"/>
              <w:jc w:val="center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40059E">
            <w:pPr>
              <w:widowControl/>
              <w:tabs>
                <w:tab w:val="left" w:pos="939"/>
              </w:tabs>
              <w:spacing w:before="120" w:line="245" w:lineRule="auto"/>
              <w:ind w:right="317"/>
              <w:jc w:val="center"/>
              <w:rPr>
                <w:spacing w:val="-2"/>
              </w:rPr>
            </w:pPr>
          </w:p>
        </w:tc>
      </w:tr>
      <w:tr w:rsidR="006C6B79"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6C6B79" w:rsidRDefault="00873878" w:rsidP="0040059E">
            <w:pPr>
              <w:widowControl/>
              <w:spacing w:line="245" w:lineRule="auto"/>
              <w:ind w:left="142"/>
              <w:jc w:val="both"/>
              <w:rPr>
                <w:spacing w:val="-2"/>
              </w:rPr>
            </w:pPr>
            <w:r>
              <w:rPr>
                <w:spacing w:val="-2"/>
              </w:rPr>
              <w:t>ноя</w:t>
            </w:r>
            <w:r w:rsidR="00267CA5">
              <w:rPr>
                <w:spacing w:val="-2"/>
              </w:rPr>
              <w:t>брю 202</w:t>
            </w:r>
            <w:r w:rsidR="00A90721">
              <w:rPr>
                <w:spacing w:val="-2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6C6B79" w:rsidRPr="00A90721" w:rsidRDefault="00A90721" w:rsidP="0040059E">
            <w:pPr>
              <w:widowControl/>
              <w:spacing w:line="245" w:lineRule="auto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101,0</w:t>
            </w:r>
          </w:p>
        </w:tc>
        <w:tc>
          <w:tcPr>
            <w:tcW w:w="2268" w:type="dxa"/>
            <w:shd w:val="clear" w:color="auto" w:fill="FFFFFF"/>
          </w:tcPr>
          <w:p w:rsidR="006C6B79" w:rsidRDefault="00873878" w:rsidP="0040059E">
            <w:pPr>
              <w:widowControl/>
              <w:spacing w:line="245" w:lineRule="auto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101,</w:t>
            </w:r>
            <w:r w:rsidR="008B320F">
              <w:rPr>
                <w:spacing w:val="-2"/>
              </w:rPr>
              <w:t>0</w:t>
            </w:r>
          </w:p>
        </w:tc>
        <w:tc>
          <w:tcPr>
            <w:tcW w:w="2409" w:type="dxa"/>
            <w:shd w:val="clear" w:color="auto" w:fill="FFFFFF"/>
          </w:tcPr>
          <w:p w:rsidR="006C6B79" w:rsidRDefault="00267CA5" w:rsidP="0040059E">
            <w:pPr>
              <w:widowControl/>
              <w:spacing w:line="245" w:lineRule="auto"/>
              <w:ind w:left="-108" w:right="742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8B320F">
              <w:rPr>
                <w:spacing w:val="-2"/>
              </w:rPr>
              <w:t>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/>
          </w:tcPr>
          <w:p w:rsidR="006C6B79" w:rsidRDefault="008B320F" w:rsidP="0040059E">
            <w:pPr>
              <w:widowControl/>
              <w:tabs>
                <w:tab w:val="left" w:pos="939"/>
              </w:tabs>
              <w:spacing w:line="245" w:lineRule="auto"/>
              <w:ind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102,1</w:t>
            </w:r>
          </w:p>
        </w:tc>
      </w:tr>
      <w:tr w:rsidR="006C6B79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C6B79" w:rsidRDefault="00267CA5" w:rsidP="0040059E">
            <w:pPr>
              <w:widowControl/>
              <w:spacing w:after="120" w:line="245" w:lineRule="auto"/>
              <w:ind w:left="142"/>
              <w:rPr>
                <w:spacing w:val="-2"/>
              </w:rPr>
            </w:pPr>
            <w:r>
              <w:rPr>
                <w:spacing w:val="-2"/>
              </w:rPr>
              <w:t>декабрю 20</w:t>
            </w:r>
            <w:r w:rsidR="00A90721">
              <w:rPr>
                <w:spacing w:val="-2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:rsidR="006C6B79" w:rsidRDefault="00A90721" w:rsidP="0040059E">
            <w:pPr>
              <w:widowControl/>
              <w:spacing w:after="120" w:line="245" w:lineRule="auto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107,2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C6B79" w:rsidRDefault="008B320F" w:rsidP="0040059E">
            <w:pPr>
              <w:widowControl/>
              <w:spacing w:after="120" w:line="245" w:lineRule="auto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107,2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bottom"/>
          </w:tcPr>
          <w:p w:rsidR="006C6B79" w:rsidRDefault="008B320F" w:rsidP="0040059E">
            <w:pPr>
              <w:widowControl/>
              <w:spacing w:after="120" w:line="245" w:lineRule="auto"/>
              <w:ind w:left="-108" w:right="742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107,6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C6B79" w:rsidRDefault="008B320F" w:rsidP="0040059E">
            <w:pPr>
              <w:widowControl/>
              <w:spacing w:after="120" w:line="245" w:lineRule="auto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106,5</w:t>
            </w:r>
          </w:p>
        </w:tc>
      </w:tr>
    </w:tbl>
    <w:p w:rsidR="006C6B79" w:rsidRDefault="006C6B79" w:rsidP="0040059E">
      <w:pPr>
        <w:widowControl/>
        <w:spacing w:line="245" w:lineRule="auto"/>
        <w:ind w:firstLine="709"/>
        <w:jc w:val="both"/>
      </w:pPr>
    </w:p>
    <w:p w:rsidR="00635DAA" w:rsidRPr="00311298" w:rsidRDefault="00267CA5" w:rsidP="0040059E">
      <w:pPr>
        <w:widowControl/>
        <w:spacing w:line="245" w:lineRule="auto"/>
        <w:ind w:firstLine="709"/>
        <w:jc w:val="both"/>
        <w:rPr>
          <w:spacing w:val="-4"/>
          <w:sz w:val="26"/>
        </w:rPr>
      </w:pPr>
      <w:proofErr w:type="gramStart"/>
      <w:r w:rsidRPr="00311298">
        <w:rPr>
          <w:spacing w:val="-4"/>
          <w:sz w:val="26"/>
        </w:rPr>
        <w:t xml:space="preserve">В </w:t>
      </w:r>
      <w:r w:rsidR="00873878" w:rsidRPr="00311298">
        <w:rPr>
          <w:spacing w:val="-4"/>
          <w:sz w:val="26"/>
        </w:rPr>
        <w:t>дека</w:t>
      </w:r>
      <w:r w:rsidRPr="00311298">
        <w:rPr>
          <w:spacing w:val="-4"/>
          <w:sz w:val="26"/>
        </w:rPr>
        <w:t>бре 202</w:t>
      </w:r>
      <w:r w:rsidR="00A90721" w:rsidRPr="00311298">
        <w:rPr>
          <w:spacing w:val="-4"/>
          <w:sz w:val="26"/>
        </w:rPr>
        <w:t>1</w:t>
      </w:r>
      <w:r w:rsidRPr="00311298">
        <w:rPr>
          <w:spacing w:val="-4"/>
          <w:sz w:val="26"/>
        </w:rPr>
        <w:t xml:space="preserve"> года по сравнению с предыдущим месяцем </w:t>
      </w:r>
      <w:r w:rsidR="00635DAA" w:rsidRPr="00311298">
        <w:rPr>
          <w:spacing w:val="-4"/>
          <w:sz w:val="26"/>
          <w:szCs w:val="26"/>
        </w:rPr>
        <w:t>по группам продовол</w:t>
      </w:r>
      <w:r w:rsidR="00635DAA" w:rsidRPr="00311298">
        <w:rPr>
          <w:spacing w:val="-4"/>
          <w:sz w:val="26"/>
          <w:szCs w:val="26"/>
        </w:rPr>
        <w:t>ь</w:t>
      </w:r>
      <w:r w:rsidR="00635DAA" w:rsidRPr="00311298">
        <w:rPr>
          <w:spacing w:val="-4"/>
          <w:sz w:val="26"/>
          <w:szCs w:val="26"/>
        </w:rPr>
        <w:t xml:space="preserve">ственных товаров отмечено увеличение цен на </w:t>
      </w:r>
      <w:r w:rsidR="00635DAA" w:rsidRPr="00311298">
        <w:rPr>
          <w:spacing w:val="-4"/>
          <w:sz w:val="26"/>
        </w:rPr>
        <w:t xml:space="preserve">яйца (на 5,1%), крупу и бобовые (на 4,6), муку (на 4,3), макаронные изделия (на 3,3), масло и жиры (на 2,3), мясные полуфабрикаты, рыбу и морепродукты (на 1,7), </w:t>
      </w:r>
      <w:r w:rsidR="006F2CEC" w:rsidRPr="00311298">
        <w:rPr>
          <w:spacing w:val="-4"/>
          <w:sz w:val="26"/>
        </w:rPr>
        <w:t xml:space="preserve">мясные и </w:t>
      </w:r>
      <w:r w:rsidR="00635DAA" w:rsidRPr="00311298">
        <w:rPr>
          <w:spacing w:val="-4"/>
          <w:sz w:val="26"/>
        </w:rPr>
        <w:t>рыбные консервы (на 1,4), сахар (на 1,2), мясо птицы (на 1,0%).</w:t>
      </w:r>
      <w:proofErr w:type="gramEnd"/>
    </w:p>
    <w:p w:rsidR="006D7B5A" w:rsidRPr="00311298" w:rsidRDefault="00A16EF4" w:rsidP="0040059E">
      <w:pPr>
        <w:widowControl/>
        <w:spacing w:line="245" w:lineRule="auto"/>
        <w:ind w:firstLine="709"/>
        <w:jc w:val="both"/>
        <w:rPr>
          <w:spacing w:val="-4"/>
          <w:sz w:val="26"/>
          <w:szCs w:val="26"/>
        </w:rPr>
      </w:pPr>
      <w:r w:rsidRPr="00311298">
        <w:rPr>
          <w:spacing w:val="-4"/>
          <w:sz w:val="26"/>
        </w:rPr>
        <w:t>Из</w:t>
      </w:r>
      <w:r w:rsidRPr="00311298">
        <w:rPr>
          <w:spacing w:val="-4"/>
          <w:sz w:val="26"/>
          <w:szCs w:val="26"/>
        </w:rPr>
        <w:t xml:space="preserve"> плодоовощной продукции подорожали </w:t>
      </w:r>
      <w:r w:rsidR="006D7B5A" w:rsidRPr="00311298">
        <w:rPr>
          <w:spacing w:val="-4"/>
          <w:sz w:val="26"/>
          <w:szCs w:val="26"/>
        </w:rPr>
        <w:t>свеж</w:t>
      </w:r>
      <w:r w:rsidRPr="00311298">
        <w:rPr>
          <w:spacing w:val="-4"/>
          <w:sz w:val="26"/>
          <w:szCs w:val="26"/>
        </w:rPr>
        <w:t>ая</w:t>
      </w:r>
      <w:r w:rsidR="006D7B5A" w:rsidRPr="00311298">
        <w:rPr>
          <w:spacing w:val="-4"/>
          <w:sz w:val="26"/>
          <w:szCs w:val="26"/>
        </w:rPr>
        <w:t xml:space="preserve"> белокочанн</w:t>
      </w:r>
      <w:r w:rsidRPr="00311298">
        <w:rPr>
          <w:spacing w:val="-4"/>
          <w:sz w:val="26"/>
          <w:szCs w:val="26"/>
        </w:rPr>
        <w:t>ая</w:t>
      </w:r>
      <w:r w:rsidR="006D7B5A" w:rsidRPr="00311298">
        <w:rPr>
          <w:spacing w:val="-4"/>
          <w:sz w:val="26"/>
          <w:szCs w:val="26"/>
        </w:rPr>
        <w:t xml:space="preserve"> капуст</w:t>
      </w:r>
      <w:r w:rsidRPr="00311298">
        <w:rPr>
          <w:spacing w:val="-4"/>
          <w:sz w:val="26"/>
          <w:szCs w:val="26"/>
        </w:rPr>
        <w:t>а</w:t>
      </w:r>
      <w:r w:rsidR="006D7B5A" w:rsidRPr="00311298">
        <w:rPr>
          <w:spacing w:val="-4"/>
          <w:sz w:val="26"/>
          <w:szCs w:val="26"/>
        </w:rPr>
        <w:t xml:space="preserve"> (на 17,9%), свежие огурцы (на 11,1), яблоки (на 5,6), сухофрукты (на 5,4), </w:t>
      </w:r>
      <w:r w:rsidRPr="00311298">
        <w:rPr>
          <w:spacing w:val="-4"/>
          <w:sz w:val="26"/>
          <w:szCs w:val="26"/>
        </w:rPr>
        <w:t xml:space="preserve">замороженные овощи (на 4,3), </w:t>
      </w:r>
      <w:r w:rsidR="006D7B5A" w:rsidRPr="00311298">
        <w:rPr>
          <w:spacing w:val="-4"/>
          <w:sz w:val="26"/>
          <w:szCs w:val="26"/>
        </w:rPr>
        <w:t>виноград (на 4,0), груши (на 3,5), репчатый лук (на 3,1),</w:t>
      </w:r>
      <w:r w:rsidR="004167F2" w:rsidRPr="00311298">
        <w:rPr>
          <w:spacing w:val="-4"/>
          <w:sz w:val="26"/>
          <w:szCs w:val="26"/>
        </w:rPr>
        <w:t xml:space="preserve"> чеснок (на 3,0</w:t>
      </w:r>
      <w:r w:rsidRPr="00311298">
        <w:rPr>
          <w:spacing w:val="-4"/>
          <w:sz w:val="26"/>
          <w:szCs w:val="26"/>
        </w:rPr>
        <w:t xml:space="preserve">), </w:t>
      </w:r>
      <w:r w:rsidR="000E0669">
        <w:rPr>
          <w:spacing w:val="-4"/>
          <w:sz w:val="26"/>
          <w:szCs w:val="26"/>
        </w:rPr>
        <w:t xml:space="preserve">свежие грибы (на 2,6), </w:t>
      </w:r>
      <w:r w:rsidRPr="00311298">
        <w:rPr>
          <w:spacing w:val="-4"/>
          <w:sz w:val="26"/>
          <w:szCs w:val="26"/>
        </w:rPr>
        <w:t>морковь (на 1,6</w:t>
      </w:r>
      <w:r w:rsidR="000E0669">
        <w:rPr>
          <w:spacing w:val="-4"/>
          <w:sz w:val="26"/>
          <w:szCs w:val="26"/>
        </w:rPr>
        <w:t>)</w:t>
      </w:r>
      <w:r w:rsidR="00B23573">
        <w:rPr>
          <w:spacing w:val="-4"/>
          <w:sz w:val="26"/>
          <w:szCs w:val="26"/>
        </w:rPr>
        <w:t>,</w:t>
      </w:r>
      <w:r w:rsidR="000E0669">
        <w:rPr>
          <w:spacing w:val="-4"/>
          <w:sz w:val="26"/>
          <w:szCs w:val="26"/>
        </w:rPr>
        <w:t xml:space="preserve"> апельсины (</w:t>
      </w:r>
      <w:proofErr w:type="gramStart"/>
      <w:r w:rsidR="000E0669">
        <w:rPr>
          <w:spacing w:val="-4"/>
          <w:sz w:val="26"/>
          <w:szCs w:val="26"/>
        </w:rPr>
        <w:t>на</w:t>
      </w:r>
      <w:proofErr w:type="gramEnd"/>
      <w:r w:rsidR="000E0669">
        <w:rPr>
          <w:spacing w:val="-4"/>
          <w:sz w:val="26"/>
          <w:szCs w:val="26"/>
        </w:rPr>
        <w:t xml:space="preserve"> 1,2</w:t>
      </w:r>
      <w:r w:rsidR="004167F2" w:rsidRPr="00311298">
        <w:rPr>
          <w:spacing w:val="-4"/>
          <w:sz w:val="26"/>
          <w:szCs w:val="26"/>
        </w:rPr>
        <w:t>%).</w:t>
      </w:r>
      <w:r w:rsidRPr="00311298">
        <w:rPr>
          <w:spacing w:val="-4"/>
          <w:sz w:val="26"/>
          <w:szCs w:val="26"/>
        </w:rPr>
        <w:t xml:space="preserve"> При этом подешевели свежие помидоры (на 8,9%), картофель (на 1,7), лимоны (на 1,5%).</w:t>
      </w:r>
    </w:p>
    <w:p w:rsidR="00311298" w:rsidRDefault="00267CA5" w:rsidP="0040059E">
      <w:pPr>
        <w:widowControl/>
        <w:spacing w:line="245" w:lineRule="auto"/>
        <w:ind w:firstLine="709"/>
        <w:jc w:val="both"/>
        <w:rPr>
          <w:spacing w:val="-4"/>
          <w:sz w:val="26"/>
        </w:rPr>
      </w:pPr>
      <w:proofErr w:type="gramStart"/>
      <w:r w:rsidRPr="003A1EEC">
        <w:rPr>
          <w:spacing w:val="-4"/>
          <w:sz w:val="26"/>
        </w:rPr>
        <w:t xml:space="preserve">По группам непродовольственных товаров </w:t>
      </w:r>
      <w:r w:rsidR="004B28A7">
        <w:rPr>
          <w:spacing w:val="-2"/>
          <w:sz w:val="26"/>
          <w:szCs w:val="26"/>
        </w:rPr>
        <w:t xml:space="preserve">возросли цены </w:t>
      </w:r>
      <w:r w:rsidR="004F1762" w:rsidRPr="003A1EEC">
        <w:rPr>
          <w:spacing w:val="-4"/>
          <w:sz w:val="26"/>
        </w:rPr>
        <w:t xml:space="preserve">на </w:t>
      </w:r>
      <w:r w:rsidR="00311298" w:rsidRPr="003A1EEC">
        <w:rPr>
          <w:spacing w:val="-4"/>
          <w:sz w:val="26"/>
        </w:rPr>
        <w:t>меха и меховые изд</w:t>
      </w:r>
      <w:r w:rsidR="00311298" w:rsidRPr="003A1EEC">
        <w:rPr>
          <w:spacing w:val="-4"/>
          <w:sz w:val="26"/>
        </w:rPr>
        <w:t>е</w:t>
      </w:r>
      <w:r w:rsidR="00311298" w:rsidRPr="003A1EEC">
        <w:rPr>
          <w:spacing w:val="-4"/>
          <w:sz w:val="26"/>
        </w:rPr>
        <w:t xml:space="preserve">лия (на </w:t>
      </w:r>
      <w:r w:rsidR="00311298">
        <w:rPr>
          <w:spacing w:val="-4"/>
          <w:sz w:val="26"/>
        </w:rPr>
        <w:t>4,1%</w:t>
      </w:r>
      <w:r w:rsidR="00311298" w:rsidRPr="003A1EEC">
        <w:rPr>
          <w:spacing w:val="-4"/>
          <w:sz w:val="26"/>
        </w:rPr>
        <w:t>),</w:t>
      </w:r>
      <w:r w:rsidR="00311298">
        <w:rPr>
          <w:spacing w:val="-4"/>
          <w:sz w:val="26"/>
        </w:rPr>
        <w:t xml:space="preserve"> </w:t>
      </w:r>
      <w:r w:rsidR="004B28A7" w:rsidRPr="003A1EEC">
        <w:rPr>
          <w:spacing w:val="-4"/>
          <w:sz w:val="26"/>
        </w:rPr>
        <w:t>мебель (на 2,</w:t>
      </w:r>
      <w:r w:rsidR="004B28A7">
        <w:rPr>
          <w:spacing w:val="-4"/>
          <w:sz w:val="26"/>
        </w:rPr>
        <w:t>3</w:t>
      </w:r>
      <w:r w:rsidR="004B28A7" w:rsidRPr="003A1EEC">
        <w:rPr>
          <w:spacing w:val="-4"/>
          <w:sz w:val="26"/>
        </w:rPr>
        <w:t>),</w:t>
      </w:r>
      <w:r w:rsidR="004B28A7">
        <w:rPr>
          <w:spacing w:val="-4"/>
          <w:sz w:val="26"/>
        </w:rPr>
        <w:t xml:space="preserve"> </w:t>
      </w:r>
      <w:r w:rsidR="00311298">
        <w:rPr>
          <w:spacing w:val="-4"/>
          <w:sz w:val="26"/>
        </w:rPr>
        <w:t>одежду для детей дошкольного и школьного возраста (соо</w:t>
      </w:r>
      <w:r w:rsidR="00311298">
        <w:rPr>
          <w:spacing w:val="-4"/>
          <w:sz w:val="26"/>
        </w:rPr>
        <w:t>т</w:t>
      </w:r>
      <w:r w:rsidR="00311298">
        <w:rPr>
          <w:spacing w:val="-4"/>
          <w:sz w:val="26"/>
        </w:rPr>
        <w:t xml:space="preserve">ветственно на 2,1 и 1,2), </w:t>
      </w:r>
      <w:r w:rsidR="004B28A7">
        <w:rPr>
          <w:spacing w:val="-4"/>
          <w:sz w:val="26"/>
        </w:rPr>
        <w:t xml:space="preserve">товары для животных (на 1,8), моторное топливо (на 1,6), </w:t>
      </w:r>
      <w:r w:rsidR="00F47AED">
        <w:rPr>
          <w:spacing w:val="-4"/>
          <w:sz w:val="26"/>
        </w:rPr>
        <w:t>пол</w:t>
      </w:r>
      <w:r w:rsidR="00F47AED">
        <w:rPr>
          <w:spacing w:val="-4"/>
          <w:sz w:val="26"/>
        </w:rPr>
        <w:t>о</w:t>
      </w:r>
      <w:r w:rsidR="00F47AED">
        <w:rPr>
          <w:spacing w:val="-4"/>
          <w:sz w:val="26"/>
        </w:rPr>
        <w:t xml:space="preserve">тенца (на 1,5), </w:t>
      </w:r>
      <w:r w:rsidR="00F47AED" w:rsidRPr="003A1EEC">
        <w:rPr>
          <w:spacing w:val="-4"/>
          <w:sz w:val="26"/>
        </w:rPr>
        <w:t xml:space="preserve">спички (на </w:t>
      </w:r>
      <w:r w:rsidR="00F47AED">
        <w:rPr>
          <w:spacing w:val="-4"/>
          <w:sz w:val="26"/>
        </w:rPr>
        <w:t>1,4</w:t>
      </w:r>
      <w:r w:rsidR="00F47AED" w:rsidRPr="003A1EEC">
        <w:rPr>
          <w:spacing w:val="-4"/>
          <w:sz w:val="26"/>
        </w:rPr>
        <w:t>),</w:t>
      </w:r>
      <w:r w:rsidR="004B28A7" w:rsidRPr="004B28A7">
        <w:rPr>
          <w:spacing w:val="-4"/>
          <w:sz w:val="26"/>
        </w:rPr>
        <w:t xml:space="preserve"> </w:t>
      </w:r>
      <w:r w:rsidR="004B28A7">
        <w:rPr>
          <w:spacing w:val="-4"/>
          <w:sz w:val="26"/>
        </w:rPr>
        <w:t>печатные издания (на 1,2), легковые автомобили (на 1,0%).</w:t>
      </w:r>
      <w:proofErr w:type="gramEnd"/>
      <w:r w:rsidR="004B28A7">
        <w:rPr>
          <w:spacing w:val="-4"/>
          <w:sz w:val="26"/>
        </w:rPr>
        <w:t xml:space="preserve"> Снизились цены на </w:t>
      </w:r>
      <w:r w:rsidR="00516DEA">
        <w:rPr>
          <w:spacing w:val="-4"/>
          <w:sz w:val="26"/>
        </w:rPr>
        <w:t xml:space="preserve">пиломатериалы (на 18,3%), </w:t>
      </w:r>
      <w:proofErr w:type="spellStart"/>
      <w:r w:rsidR="00516DEA">
        <w:rPr>
          <w:spacing w:val="-4"/>
          <w:sz w:val="26"/>
        </w:rPr>
        <w:t>телерадиотовары</w:t>
      </w:r>
      <w:proofErr w:type="spellEnd"/>
      <w:r w:rsidR="00516DEA">
        <w:rPr>
          <w:spacing w:val="-4"/>
          <w:sz w:val="26"/>
        </w:rPr>
        <w:t xml:space="preserve"> (на 1,3%).</w:t>
      </w:r>
    </w:p>
    <w:p w:rsidR="00905AAE" w:rsidRPr="009E220A" w:rsidRDefault="00D55C27" w:rsidP="0040059E">
      <w:pPr>
        <w:widowControl/>
        <w:spacing w:line="245" w:lineRule="auto"/>
        <w:ind w:firstLine="709"/>
        <w:jc w:val="both"/>
        <w:rPr>
          <w:sz w:val="26"/>
          <w:szCs w:val="26"/>
        </w:rPr>
      </w:pPr>
      <w:r w:rsidRPr="00B92841">
        <w:rPr>
          <w:sz w:val="26"/>
          <w:szCs w:val="26"/>
        </w:rPr>
        <w:t xml:space="preserve">Среди услуг </w:t>
      </w:r>
      <w:r w:rsidR="00DA564D">
        <w:rPr>
          <w:sz w:val="26"/>
          <w:szCs w:val="26"/>
        </w:rPr>
        <w:t xml:space="preserve">значительно </w:t>
      </w:r>
      <w:r w:rsidR="009F7439" w:rsidRPr="00B92841">
        <w:rPr>
          <w:sz w:val="26"/>
          <w:szCs w:val="26"/>
        </w:rPr>
        <w:t>увеличилась</w:t>
      </w:r>
      <w:r w:rsidR="009F7439" w:rsidRPr="00B92841">
        <w:t xml:space="preserve"> </w:t>
      </w:r>
      <w:r w:rsidR="009F7439" w:rsidRPr="00B92841">
        <w:rPr>
          <w:sz w:val="26"/>
          <w:szCs w:val="26"/>
        </w:rPr>
        <w:t>с</w:t>
      </w:r>
      <w:r w:rsidR="009F7439" w:rsidRPr="00B92841">
        <w:rPr>
          <w:bCs/>
          <w:sz w:val="26"/>
          <w:szCs w:val="26"/>
        </w:rPr>
        <w:t xml:space="preserve">тоимость </w:t>
      </w:r>
      <w:r w:rsidR="0048575A">
        <w:rPr>
          <w:bCs/>
          <w:sz w:val="26"/>
          <w:szCs w:val="26"/>
        </w:rPr>
        <w:t xml:space="preserve">автобусных экскурсий (на 37,4%), </w:t>
      </w:r>
      <w:r w:rsidR="009F7439" w:rsidRPr="00B92841">
        <w:rPr>
          <w:bCs/>
          <w:sz w:val="26"/>
          <w:szCs w:val="26"/>
        </w:rPr>
        <w:t>услуг</w:t>
      </w:r>
      <w:r w:rsidR="009F7439" w:rsidRPr="00B92841">
        <w:rPr>
          <w:bCs/>
        </w:rPr>
        <w:t xml:space="preserve"> </w:t>
      </w:r>
      <w:r w:rsidR="00DA564D" w:rsidRPr="00B92841">
        <w:rPr>
          <w:sz w:val="26"/>
          <w:szCs w:val="26"/>
        </w:rPr>
        <w:t>воздушного</w:t>
      </w:r>
      <w:r w:rsidR="00DA564D" w:rsidRPr="00B92841">
        <w:rPr>
          <w:bCs/>
          <w:sz w:val="26"/>
          <w:szCs w:val="26"/>
        </w:rPr>
        <w:t xml:space="preserve"> </w:t>
      </w:r>
      <w:r w:rsidR="00DA564D">
        <w:rPr>
          <w:bCs/>
          <w:sz w:val="26"/>
          <w:szCs w:val="26"/>
        </w:rPr>
        <w:t xml:space="preserve">и </w:t>
      </w:r>
      <w:r w:rsidR="009F7439" w:rsidRPr="00B92841">
        <w:rPr>
          <w:bCs/>
          <w:sz w:val="26"/>
          <w:szCs w:val="26"/>
        </w:rPr>
        <w:t xml:space="preserve">железнодорожного транспорта (соответственно на </w:t>
      </w:r>
      <w:r w:rsidR="00DA564D">
        <w:rPr>
          <w:bCs/>
          <w:sz w:val="26"/>
          <w:szCs w:val="26"/>
        </w:rPr>
        <w:t>30,5</w:t>
      </w:r>
      <w:r w:rsidR="009F7439" w:rsidRPr="00B92841">
        <w:rPr>
          <w:bCs/>
          <w:sz w:val="26"/>
          <w:szCs w:val="26"/>
        </w:rPr>
        <w:t xml:space="preserve">% и </w:t>
      </w:r>
      <w:r w:rsidR="00DA564D">
        <w:rPr>
          <w:bCs/>
          <w:sz w:val="26"/>
          <w:szCs w:val="26"/>
        </w:rPr>
        <w:t>26,8</w:t>
      </w:r>
      <w:r w:rsidR="009F7439" w:rsidRPr="00B92841">
        <w:rPr>
          <w:bCs/>
          <w:sz w:val="26"/>
          <w:szCs w:val="26"/>
        </w:rPr>
        <w:t>%)</w:t>
      </w:r>
      <w:r w:rsidR="004B2102">
        <w:rPr>
          <w:bCs/>
          <w:sz w:val="26"/>
          <w:szCs w:val="26"/>
        </w:rPr>
        <w:t>.</w:t>
      </w:r>
      <w:r w:rsidR="008D5A76" w:rsidRPr="00B92841">
        <w:rPr>
          <w:bCs/>
          <w:sz w:val="26"/>
          <w:szCs w:val="26"/>
        </w:rPr>
        <w:t xml:space="preserve"> </w:t>
      </w:r>
      <w:r w:rsidR="000739E2">
        <w:rPr>
          <w:bCs/>
          <w:sz w:val="26"/>
          <w:szCs w:val="26"/>
        </w:rPr>
        <w:t>В</w:t>
      </w:r>
      <w:r w:rsidR="000739E2" w:rsidRPr="000A1200">
        <w:rPr>
          <w:bCs/>
          <w:sz w:val="26"/>
          <w:szCs w:val="26"/>
        </w:rPr>
        <w:t xml:space="preserve">озросла стоимость </w:t>
      </w:r>
      <w:r w:rsidR="00BA7035">
        <w:rPr>
          <w:bCs/>
          <w:spacing w:val="-2"/>
          <w:sz w:val="26"/>
          <w:szCs w:val="26"/>
        </w:rPr>
        <w:t>занятий в группах общей физической подготовки (на 5,9</w:t>
      </w:r>
      <w:r w:rsidR="007277D5" w:rsidRPr="007277D5">
        <w:rPr>
          <w:bCs/>
          <w:spacing w:val="-2"/>
          <w:sz w:val="26"/>
          <w:szCs w:val="26"/>
        </w:rPr>
        <w:t>%</w:t>
      </w:r>
      <w:r w:rsidR="00BA7035">
        <w:rPr>
          <w:bCs/>
          <w:spacing w:val="-2"/>
          <w:sz w:val="26"/>
          <w:szCs w:val="26"/>
        </w:rPr>
        <w:t xml:space="preserve">), </w:t>
      </w:r>
      <w:r w:rsidR="00F4688B">
        <w:rPr>
          <w:bCs/>
          <w:spacing w:val="-2"/>
          <w:sz w:val="26"/>
          <w:szCs w:val="26"/>
        </w:rPr>
        <w:t xml:space="preserve">пакета услуг сотовой связи </w:t>
      </w:r>
      <w:r w:rsidR="000739E2">
        <w:rPr>
          <w:bCs/>
          <w:sz w:val="26"/>
          <w:szCs w:val="26"/>
        </w:rPr>
        <w:t xml:space="preserve">(на 3,8), </w:t>
      </w:r>
      <w:r w:rsidR="000739E2" w:rsidRPr="000A1200">
        <w:rPr>
          <w:bCs/>
          <w:sz w:val="26"/>
          <w:szCs w:val="26"/>
        </w:rPr>
        <w:t xml:space="preserve">услуг </w:t>
      </w:r>
      <w:r w:rsidR="000739E2">
        <w:rPr>
          <w:bCs/>
          <w:sz w:val="26"/>
          <w:szCs w:val="26"/>
        </w:rPr>
        <w:t xml:space="preserve">гостиниц и прочих мест проживания </w:t>
      </w:r>
      <w:r w:rsidR="000739E2" w:rsidRPr="000A1200">
        <w:rPr>
          <w:bCs/>
          <w:sz w:val="26"/>
          <w:szCs w:val="26"/>
        </w:rPr>
        <w:t xml:space="preserve">(на </w:t>
      </w:r>
      <w:r w:rsidR="000739E2">
        <w:rPr>
          <w:bCs/>
          <w:sz w:val="26"/>
          <w:szCs w:val="26"/>
        </w:rPr>
        <w:t>3,2</w:t>
      </w:r>
      <w:r w:rsidR="00FB2BA4">
        <w:rPr>
          <w:bCs/>
          <w:sz w:val="26"/>
          <w:szCs w:val="26"/>
        </w:rPr>
        <w:t xml:space="preserve">), </w:t>
      </w:r>
      <w:r w:rsidR="00FB2BA4" w:rsidRPr="00B92841">
        <w:rPr>
          <w:sz w:val="26"/>
        </w:rPr>
        <w:t xml:space="preserve">проезда в такси (на </w:t>
      </w:r>
      <w:r w:rsidR="00FB2BA4">
        <w:rPr>
          <w:sz w:val="26"/>
        </w:rPr>
        <w:t>3,0</w:t>
      </w:r>
      <w:r w:rsidR="00FB2BA4" w:rsidRPr="00B92841">
        <w:rPr>
          <w:sz w:val="26"/>
        </w:rPr>
        <w:t>),</w:t>
      </w:r>
      <w:r w:rsidR="00FB2BA4">
        <w:rPr>
          <w:sz w:val="26"/>
        </w:rPr>
        <w:t xml:space="preserve"> </w:t>
      </w:r>
      <w:r w:rsidR="00FB2BA4" w:rsidRPr="00B92841">
        <w:rPr>
          <w:sz w:val="26"/>
        </w:rPr>
        <w:t xml:space="preserve">услуг банков (на </w:t>
      </w:r>
      <w:r w:rsidR="00FB2BA4">
        <w:rPr>
          <w:sz w:val="26"/>
        </w:rPr>
        <w:t>2,8</w:t>
      </w:r>
      <w:r w:rsidR="00FB2BA4" w:rsidRPr="00B92841">
        <w:rPr>
          <w:sz w:val="26"/>
        </w:rPr>
        <w:t xml:space="preserve">), </w:t>
      </w:r>
      <w:r w:rsidR="00FB2BA4">
        <w:rPr>
          <w:sz w:val="26"/>
        </w:rPr>
        <w:t>билета в кинотеатр (на 1,1</w:t>
      </w:r>
      <w:r w:rsidR="007D7CE2">
        <w:rPr>
          <w:sz w:val="26"/>
        </w:rPr>
        <w:t>%</w:t>
      </w:r>
      <w:r w:rsidR="00FB2BA4">
        <w:rPr>
          <w:sz w:val="26"/>
        </w:rPr>
        <w:t>)</w:t>
      </w:r>
      <w:r w:rsidR="007D7CE2">
        <w:rPr>
          <w:sz w:val="26"/>
        </w:rPr>
        <w:t>.</w:t>
      </w:r>
      <w:r w:rsidR="004B2102">
        <w:rPr>
          <w:sz w:val="26"/>
        </w:rPr>
        <w:t xml:space="preserve"> </w:t>
      </w:r>
      <w:r w:rsidR="009975EF">
        <w:rPr>
          <w:sz w:val="26"/>
          <w:szCs w:val="26"/>
        </w:rPr>
        <w:t>Снизи</w:t>
      </w:r>
      <w:r w:rsidR="00E8797B">
        <w:rPr>
          <w:sz w:val="26"/>
          <w:szCs w:val="26"/>
        </w:rPr>
        <w:t>лась</w:t>
      </w:r>
      <w:r w:rsidR="009975EF" w:rsidRPr="000A1200">
        <w:rPr>
          <w:sz w:val="26"/>
          <w:szCs w:val="26"/>
        </w:rPr>
        <w:t xml:space="preserve"> </w:t>
      </w:r>
      <w:r w:rsidR="009975EF">
        <w:rPr>
          <w:sz w:val="26"/>
          <w:szCs w:val="26"/>
        </w:rPr>
        <w:t>стоимость поездок на отдых в Турцию и Объединённые Арабские Эмираты (соотве</w:t>
      </w:r>
      <w:r w:rsidR="009975EF">
        <w:rPr>
          <w:sz w:val="26"/>
          <w:szCs w:val="26"/>
        </w:rPr>
        <w:t>т</w:t>
      </w:r>
      <w:r w:rsidR="009975EF">
        <w:rPr>
          <w:sz w:val="26"/>
          <w:szCs w:val="26"/>
        </w:rPr>
        <w:t xml:space="preserve">ственно на </w:t>
      </w:r>
      <w:r w:rsidR="00E8797B">
        <w:rPr>
          <w:sz w:val="26"/>
          <w:szCs w:val="26"/>
        </w:rPr>
        <w:t>19,5</w:t>
      </w:r>
      <w:r w:rsidR="009975EF">
        <w:rPr>
          <w:sz w:val="26"/>
          <w:szCs w:val="26"/>
        </w:rPr>
        <w:t xml:space="preserve">% и </w:t>
      </w:r>
      <w:r w:rsidR="00E8797B">
        <w:rPr>
          <w:sz w:val="26"/>
          <w:szCs w:val="26"/>
        </w:rPr>
        <w:t>11,3</w:t>
      </w:r>
      <w:r w:rsidR="009975EF">
        <w:rPr>
          <w:sz w:val="26"/>
          <w:szCs w:val="26"/>
        </w:rPr>
        <w:t>%).</w:t>
      </w:r>
    </w:p>
    <w:p w:rsidR="00B52715" w:rsidRDefault="00B52715" w:rsidP="0040059E">
      <w:pPr>
        <w:widowControl/>
        <w:spacing w:line="245" w:lineRule="auto"/>
        <w:ind w:firstLine="709"/>
        <w:jc w:val="both"/>
        <w:rPr>
          <w:bCs/>
          <w:spacing w:val="-2"/>
          <w:sz w:val="26"/>
          <w:szCs w:val="26"/>
          <w:lang w:val="en-US"/>
        </w:rPr>
      </w:pPr>
    </w:p>
    <w:p w:rsidR="009E220A" w:rsidRDefault="009E220A" w:rsidP="0040059E">
      <w:pPr>
        <w:widowControl/>
        <w:spacing w:line="245" w:lineRule="auto"/>
        <w:ind w:firstLine="709"/>
        <w:jc w:val="both"/>
        <w:rPr>
          <w:bCs/>
          <w:spacing w:val="-2"/>
          <w:sz w:val="26"/>
          <w:szCs w:val="26"/>
          <w:lang w:val="en-US"/>
        </w:rPr>
      </w:pPr>
    </w:p>
    <w:p w:rsidR="009E220A" w:rsidRDefault="009E220A" w:rsidP="0040059E">
      <w:pPr>
        <w:widowControl/>
        <w:spacing w:line="245" w:lineRule="auto"/>
        <w:ind w:firstLine="709"/>
        <w:jc w:val="both"/>
        <w:rPr>
          <w:bCs/>
          <w:spacing w:val="-2"/>
          <w:sz w:val="26"/>
          <w:szCs w:val="26"/>
          <w:lang w:val="en-US"/>
        </w:rPr>
      </w:pPr>
    </w:p>
    <w:p w:rsidR="009E220A" w:rsidRDefault="009E220A" w:rsidP="0040059E">
      <w:pPr>
        <w:widowControl/>
        <w:spacing w:line="245" w:lineRule="auto"/>
        <w:ind w:firstLine="709"/>
        <w:jc w:val="both"/>
        <w:rPr>
          <w:bCs/>
          <w:spacing w:val="-2"/>
          <w:sz w:val="26"/>
          <w:szCs w:val="26"/>
          <w:lang w:val="en-US"/>
        </w:rPr>
      </w:pPr>
    </w:p>
    <w:p w:rsidR="009E220A" w:rsidRDefault="009E220A" w:rsidP="0040059E">
      <w:pPr>
        <w:widowControl/>
        <w:spacing w:line="245" w:lineRule="auto"/>
        <w:ind w:firstLine="709"/>
        <w:jc w:val="both"/>
        <w:rPr>
          <w:bCs/>
          <w:spacing w:val="-2"/>
          <w:sz w:val="26"/>
          <w:szCs w:val="26"/>
          <w:lang w:val="en-US"/>
        </w:rPr>
      </w:pPr>
    </w:p>
    <w:p w:rsidR="009E220A" w:rsidRDefault="009E220A" w:rsidP="0040059E">
      <w:pPr>
        <w:widowControl/>
        <w:spacing w:line="245" w:lineRule="auto"/>
        <w:ind w:firstLine="709"/>
        <w:jc w:val="both"/>
        <w:rPr>
          <w:bCs/>
          <w:spacing w:val="-2"/>
          <w:sz w:val="26"/>
          <w:szCs w:val="26"/>
          <w:lang w:val="en-US"/>
        </w:rPr>
      </w:pPr>
    </w:p>
    <w:p w:rsidR="009E220A" w:rsidRPr="00FB1B4F" w:rsidRDefault="009E220A" w:rsidP="009E220A">
      <w:pPr>
        <w:spacing w:line="211" w:lineRule="auto"/>
        <w:ind w:firstLine="709"/>
        <w:jc w:val="right"/>
        <w:rPr>
          <w:bCs/>
          <w:i/>
          <w:szCs w:val="24"/>
        </w:rPr>
      </w:pPr>
      <w:r w:rsidRPr="00FB1B4F">
        <w:rPr>
          <w:bCs/>
          <w:i/>
          <w:szCs w:val="24"/>
        </w:rPr>
        <w:t>Срочная информация по актуальным вопросам</w:t>
      </w:r>
    </w:p>
    <w:tbl>
      <w:tblPr>
        <w:tblW w:w="7138" w:type="dxa"/>
        <w:jc w:val="right"/>
        <w:tblInd w:w="-1360" w:type="dxa"/>
        <w:tblLook w:val="04A0" w:firstRow="1" w:lastRow="0" w:firstColumn="1" w:lastColumn="0" w:noHBand="0" w:noVBand="1"/>
      </w:tblPr>
      <w:tblGrid>
        <w:gridCol w:w="476"/>
        <w:gridCol w:w="6612"/>
        <w:gridCol w:w="50"/>
      </w:tblGrid>
      <w:tr w:rsidR="009E220A" w:rsidRPr="00FB1B4F" w:rsidTr="00650769">
        <w:trPr>
          <w:gridBefore w:val="1"/>
          <w:wBefore w:w="476" w:type="dxa"/>
          <w:trHeight w:val="315"/>
          <w:jc w:val="right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0A" w:rsidRPr="00FB1B4F" w:rsidRDefault="009E220A" w:rsidP="00650769">
            <w:pPr>
              <w:ind w:left="-3070"/>
              <w:jc w:val="right"/>
              <w:rPr>
                <w:i/>
                <w:iCs/>
                <w:szCs w:val="24"/>
              </w:rPr>
            </w:pPr>
            <w:proofErr w:type="spellStart"/>
            <w:r w:rsidRPr="00FB1B4F">
              <w:rPr>
                <w:i/>
                <w:iCs/>
                <w:szCs w:val="24"/>
              </w:rPr>
              <w:t>Copyright</w:t>
            </w:r>
            <w:proofErr w:type="spellEnd"/>
            <w:r w:rsidRPr="00FB1B4F">
              <w:rPr>
                <w:i/>
                <w:iCs/>
                <w:szCs w:val="24"/>
              </w:rPr>
              <w:t xml:space="preserve"> © Территориальный орган Федеральной службы</w:t>
            </w:r>
          </w:p>
        </w:tc>
      </w:tr>
      <w:tr w:rsidR="009E220A" w:rsidRPr="00FB1B4F" w:rsidTr="00650769">
        <w:trPr>
          <w:gridAfter w:val="1"/>
          <w:wAfter w:w="50" w:type="dxa"/>
          <w:trHeight w:val="315"/>
          <w:jc w:val="right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0A" w:rsidRPr="00FB1B4F" w:rsidRDefault="009E220A" w:rsidP="00650769">
            <w:pPr>
              <w:jc w:val="right"/>
              <w:rPr>
                <w:i/>
                <w:iCs/>
                <w:szCs w:val="24"/>
              </w:rPr>
            </w:pPr>
            <w:r w:rsidRPr="00FB1B4F">
              <w:rPr>
                <w:i/>
                <w:iCs/>
                <w:szCs w:val="24"/>
              </w:rPr>
              <w:t>государственной статистики по Мурманской области</w:t>
            </w:r>
          </w:p>
        </w:tc>
      </w:tr>
    </w:tbl>
    <w:p w:rsidR="009E220A" w:rsidRPr="009E220A" w:rsidRDefault="009E220A" w:rsidP="0040059E">
      <w:pPr>
        <w:widowControl/>
        <w:spacing w:line="245" w:lineRule="auto"/>
        <w:ind w:firstLine="709"/>
        <w:jc w:val="both"/>
        <w:rPr>
          <w:bCs/>
          <w:spacing w:val="-2"/>
          <w:sz w:val="26"/>
          <w:szCs w:val="26"/>
        </w:rPr>
      </w:pPr>
      <w:bookmarkStart w:id="0" w:name="_GoBack"/>
      <w:bookmarkEnd w:id="0"/>
    </w:p>
    <w:sectPr w:rsidR="009E220A" w:rsidRPr="009E220A" w:rsidSect="00B52715">
      <w:headerReference w:type="default" r:id="rId7"/>
      <w:footerReference w:type="default" r:id="rId8"/>
      <w:pgSz w:w="11907" w:h="16840"/>
      <w:pgMar w:top="709" w:right="851" w:bottom="113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88" w:rsidRDefault="00C02088">
      <w:r>
        <w:separator/>
      </w:r>
    </w:p>
  </w:endnote>
  <w:endnote w:type="continuationSeparator" w:id="0">
    <w:p w:rsidR="00C02088" w:rsidRDefault="00C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79" w:rsidRDefault="006C6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88" w:rsidRDefault="00C02088">
      <w:r>
        <w:separator/>
      </w:r>
    </w:p>
  </w:footnote>
  <w:footnote w:type="continuationSeparator" w:id="0">
    <w:p w:rsidR="00C02088" w:rsidRDefault="00C0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79" w:rsidRDefault="00267CA5">
    <w:pPr>
      <w:framePr w:wrap="around" w:vAnchor="text" w:hAnchor="margin" w:xAlign="center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B52715">
      <w:rPr>
        <w:rStyle w:val="af0"/>
        <w:noProof/>
      </w:rPr>
      <w:t>2</w:t>
    </w:r>
    <w:r>
      <w:rPr>
        <w:rStyle w:val="af0"/>
      </w:rPr>
      <w:fldChar w:fldCharType="end"/>
    </w:r>
  </w:p>
  <w:p w:rsidR="006C6B79" w:rsidRDefault="006C6B7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9"/>
    <w:rsid w:val="000339A2"/>
    <w:rsid w:val="000344DD"/>
    <w:rsid w:val="00041BB3"/>
    <w:rsid w:val="000739E2"/>
    <w:rsid w:val="000E0669"/>
    <w:rsid w:val="00186EE2"/>
    <w:rsid w:val="001B4130"/>
    <w:rsid w:val="00212E49"/>
    <w:rsid w:val="00225724"/>
    <w:rsid w:val="00267CA5"/>
    <w:rsid w:val="00287CA5"/>
    <w:rsid w:val="002D09AE"/>
    <w:rsid w:val="002F289D"/>
    <w:rsid w:val="00311298"/>
    <w:rsid w:val="0031616E"/>
    <w:rsid w:val="00341DBA"/>
    <w:rsid w:val="00383269"/>
    <w:rsid w:val="0039303D"/>
    <w:rsid w:val="003A1EEC"/>
    <w:rsid w:val="003F0EE5"/>
    <w:rsid w:val="0040059E"/>
    <w:rsid w:val="004167F2"/>
    <w:rsid w:val="00440917"/>
    <w:rsid w:val="00450987"/>
    <w:rsid w:val="0048575A"/>
    <w:rsid w:val="004A6F1D"/>
    <w:rsid w:val="004B2102"/>
    <w:rsid w:val="004B28A7"/>
    <w:rsid w:val="004E193E"/>
    <w:rsid w:val="004F1762"/>
    <w:rsid w:val="00516DEA"/>
    <w:rsid w:val="00597AE5"/>
    <w:rsid w:val="005D2192"/>
    <w:rsid w:val="00620B7A"/>
    <w:rsid w:val="00635DAA"/>
    <w:rsid w:val="00690415"/>
    <w:rsid w:val="006C6B79"/>
    <w:rsid w:val="006D7B5A"/>
    <w:rsid w:val="006E52DF"/>
    <w:rsid w:val="006F2CEC"/>
    <w:rsid w:val="00700F2C"/>
    <w:rsid w:val="00713A58"/>
    <w:rsid w:val="007277D5"/>
    <w:rsid w:val="00796763"/>
    <w:rsid w:val="007D7CE2"/>
    <w:rsid w:val="00803EDD"/>
    <w:rsid w:val="00805EAB"/>
    <w:rsid w:val="00850B16"/>
    <w:rsid w:val="00867DC2"/>
    <w:rsid w:val="00873878"/>
    <w:rsid w:val="008824A7"/>
    <w:rsid w:val="00887197"/>
    <w:rsid w:val="00893F3B"/>
    <w:rsid w:val="00895B2E"/>
    <w:rsid w:val="00897C2B"/>
    <w:rsid w:val="008B320F"/>
    <w:rsid w:val="008C5435"/>
    <w:rsid w:val="008C565C"/>
    <w:rsid w:val="008D5A76"/>
    <w:rsid w:val="008F3351"/>
    <w:rsid w:val="00905AAE"/>
    <w:rsid w:val="00905F42"/>
    <w:rsid w:val="00924389"/>
    <w:rsid w:val="00944511"/>
    <w:rsid w:val="00951BDE"/>
    <w:rsid w:val="009975EF"/>
    <w:rsid w:val="009C757C"/>
    <w:rsid w:val="009E220A"/>
    <w:rsid w:val="009F7439"/>
    <w:rsid w:val="00A16EF4"/>
    <w:rsid w:val="00A61112"/>
    <w:rsid w:val="00A7696F"/>
    <w:rsid w:val="00A90721"/>
    <w:rsid w:val="00AD32D2"/>
    <w:rsid w:val="00AE3057"/>
    <w:rsid w:val="00AF1A66"/>
    <w:rsid w:val="00AF6D3D"/>
    <w:rsid w:val="00B23573"/>
    <w:rsid w:val="00B5120E"/>
    <w:rsid w:val="00B52715"/>
    <w:rsid w:val="00B5433F"/>
    <w:rsid w:val="00B92841"/>
    <w:rsid w:val="00BA7035"/>
    <w:rsid w:val="00BB3C16"/>
    <w:rsid w:val="00BE1194"/>
    <w:rsid w:val="00BE150B"/>
    <w:rsid w:val="00C02088"/>
    <w:rsid w:val="00C2545A"/>
    <w:rsid w:val="00C36185"/>
    <w:rsid w:val="00C64D33"/>
    <w:rsid w:val="00C80891"/>
    <w:rsid w:val="00CF0298"/>
    <w:rsid w:val="00D55C27"/>
    <w:rsid w:val="00D632C6"/>
    <w:rsid w:val="00DA564D"/>
    <w:rsid w:val="00DB4D87"/>
    <w:rsid w:val="00DC5FE7"/>
    <w:rsid w:val="00DE2DA0"/>
    <w:rsid w:val="00DF0578"/>
    <w:rsid w:val="00DF7911"/>
    <w:rsid w:val="00E15B3B"/>
    <w:rsid w:val="00E42D86"/>
    <w:rsid w:val="00E8797B"/>
    <w:rsid w:val="00EA445A"/>
    <w:rsid w:val="00EB367F"/>
    <w:rsid w:val="00EE7288"/>
    <w:rsid w:val="00F2551E"/>
    <w:rsid w:val="00F25935"/>
    <w:rsid w:val="00F4031D"/>
    <w:rsid w:val="00F4688B"/>
    <w:rsid w:val="00F47AED"/>
    <w:rsid w:val="00F573B5"/>
    <w:rsid w:val="00F71DEE"/>
    <w:rsid w:val="00F81C8B"/>
    <w:rsid w:val="00F91BE3"/>
    <w:rsid w:val="00FB2BA4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ind w:firstLine="720"/>
      <w:jc w:val="right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ody Text Indent"/>
    <w:basedOn w:val="a"/>
    <w:link w:val="a6"/>
    <w:pPr>
      <w:widowControl/>
      <w:ind w:firstLine="720"/>
      <w:jc w:val="both"/>
    </w:pPr>
  </w:style>
  <w:style w:type="character" w:customStyle="1" w:styleId="a6">
    <w:name w:val="Основной текст с отступом Знак"/>
    <w:basedOn w:val="11"/>
    <w:link w:val="a5"/>
    <w:rPr>
      <w:sz w:val="24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1"/>
    <w:link w:val="a7"/>
    <w:rPr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endnote text"/>
    <w:basedOn w:val="a"/>
    <w:link w:val="ac"/>
    <w:rPr>
      <w:sz w:val="20"/>
    </w:rPr>
  </w:style>
  <w:style w:type="character" w:customStyle="1" w:styleId="ac">
    <w:name w:val="Текст концевой сноски Знак"/>
    <w:basedOn w:val="11"/>
    <w:link w:val="ab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1"/>
    <w:link w:val="1"/>
    <w:rPr>
      <w:b/>
      <w:sz w:val="28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ody Text"/>
    <w:basedOn w:val="a"/>
    <w:link w:val="af"/>
    <w:pPr>
      <w:widowControl/>
      <w:jc w:val="both"/>
    </w:pPr>
  </w:style>
  <w:style w:type="character" w:customStyle="1" w:styleId="af">
    <w:name w:val="Основной текст Знак"/>
    <w:basedOn w:val="11"/>
    <w:link w:val="ae"/>
    <w:rPr>
      <w:sz w:val="24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1"/>
    <w:link w:val="2"/>
    <w:rPr>
      <w:i/>
      <w:sz w:val="24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krivosheya_im</cp:lastModifiedBy>
  <cp:revision>74</cp:revision>
  <cp:lastPrinted>2020-12-09T09:40:00Z</cp:lastPrinted>
  <dcterms:created xsi:type="dcterms:W3CDTF">2020-12-09T08:09:00Z</dcterms:created>
  <dcterms:modified xsi:type="dcterms:W3CDTF">2022-01-21T12:34:00Z</dcterms:modified>
</cp:coreProperties>
</file>