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56" w:rsidRPr="00E5255E" w:rsidRDefault="006E5C56" w:rsidP="003A3DAB">
      <w:pPr>
        <w:widowControl/>
        <w:jc w:val="center"/>
        <w:rPr>
          <w:sz w:val="26"/>
          <w:szCs w:val="26"/>
        </w:rPr>
      </w:pPr>
      <w:r w:rsidRPr="00E5255E">
        <w:rPr>
          <w:sz w:val="26"/>
          <w:szCs w:val="26"/>
        </w:rPr>
        <w:t>Об изменении потребительских цен</w:t>
      </w:r>
    </w:p>
    <w:p w:rsidR="006E5C56" w:rsidRPr="00E5255E" w:rsidRDefault="006E5C56" w:rsidP="003A3DAB">
      <w:pPr>
        <w:widowControl/>
        <w:jc w:val="center"/>
        <w:rPr>
          <w:sz w:val="26"/>
          <w:szCs w:val="26"/>
        </w:rPr>
      </w:pPr>
      <w:r w:rsidRPr="00E5255E">
        <w:rPr>
          <w:sz w:val="26"/>
          <w:szCs w:val="26"/>
        </w:rPr>
        <w:t>на товары и услуги</w:t>
      </w:r>
      <w:proofErr w:type="gramStart"/>
      <w:r>
        <w:rPr>
          <w:sz w:val="26"/>
          <w:szCs w:val="26"/>
          <w:vertAlign w:val="superscript"/>
        </w:rPr>
        <w:t>1</w:t>
      </w:r>
      <w:proofErr w:type="gramEnd"/>
      <w:r>
        <w:rPr>
          <w:sz w:val="26"/>
          <w:szCs w:val="26"/>
          <w:vertAlign w:val="superscript"/>
        </w:rPr>
        <w:t>)</w:t>
      </w:r>
      <w:r w:rsidRPr="00E5255E">
        <w:rPr>
          <w:sz w:val="26"/>
          <w:szCs w:val="26"/>
        </w:rPr>
        <w:t xml:space="preserve"> в Мурманской области</w:t>
      </w:r>
    </w:p>
    <w:p w:rsidR="006E5C56" w:rsidRPr="00E5255E" w:rsidRDefault="006E5C56" w:rsidP="003A3DAB">
      <w:pPr>
        <w:widowControl/>
        <w:jc w:val="center"/>
        <w:rPr>
          <w:sz w:val="26"/>
          <w:szCs w:val="26"/>
        </w:rPr>
      </w:pPr>
      <w:r w:rsidRPr="00E5255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феврале </w:t>
      </w:r>
      <w:r w:rsidRPr="00E5255E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E5255E">
        <w:rPr>
          <w:sz w:val="26"/>
          <w:szCs w:val="26"/>
        </w:rPr>
        <w:t xml:space="preserve"> года</w:t>
      </w:r>
    </w:p>
    <w:p w:rsidR="006C6B79" w:rsidRDefault="006C6B79" w:rsidP="00553AE0">
      <w:pPr>
        <w:widowControl/>
        <w:jc w:val="both"/>
        <w:rPr>
          <w:sz w:val="22"/>
        </w:rPr>
      </w:pPr>
    </w:p>
    <w:p w:rsidR="006C6B79" w:rsidRDefault="006C6B79" w:rsidP="00553AE0">
      <w:pPr>
        <w:widowControl/>
        <w:jc w:val="both"/>
        <w:rPr>
          <w:sz w:val="22"/>
        </w:rPr>
      </w:pPr>
    </w:p>
    <w:p w:rsidR="006C6B79" w:rsidRDefault="00267CA5" w:rsidP="00553AE0">
      <w:pPr>
        <w:widowControl/>
        <w:ind w:firstLine="720"/>
        <w:jc w:val="both"/>
        <w:rPr>
          <w:sz w:val="26"/>
        </w:rPr>
      </w:pPr>
      <w:r>
        <w:rPr>
          <w:sz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6C6B79" w:rsidRDefault="00267CA5" w:rsidP="00553AE0">
      <w:pPr>
        <w:widowControl/>
        <w:spacing w:before="80"/>
        <w:jc w:val="right"/>
        <w:rPr>
          <w:sz w:val="20"/>
        </w:rPr>
      </w:pPr>
      <w:r>
        <w:rPr>
          <w:sz w:val="20"/>
        </w:rPr>
        <w:t xml:space="preserve"> (в процентах)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559"/>
        <w:gridCol w:w="1701"/>
        <w:gridCol w:w="1558"/>
      </w:tblGrid>
      <w:tr w:rsidR="001D0FA1" w:rsidTr="004F3B5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Все товары </w:t>
            </w:r>
          </w:p>
          <w:p w:rsidR="001D0FA1" w:rsidRDefault="001D0FA1" w:rsidP="00553AE0">
            <w:pPr>
              <w:widowControl/>
              <w:jc w:val="center"/>
              <w:rPr>
                <w:spacing w:val="-2"/>
              </w:rPr>
            </w:pPr>
            <w:r>
              <w:rPr>
                <w:spacing w:val="-2"/>
              </w:rPr>
              <w:t>и услуги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</w:t>
            </w:r>
          </w:p>
        </w:tc>
      </w:tr>
      <w:tr w:rsidR="001D0FA1" w:rsidTr="004F3B5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товары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tabs>
                <w:tab w:val="left" w:pos="9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услуги</w:t>
            </w:r>
          </w:p>
        </w:tc>
      </w:tr>
      <w:tr w:rsidR="001D0FA1" w:rsidTr="004F3B5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ind w:left="-108" w:right="-108"/>
              <w:jc w:val="center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продовол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>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непродовол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>ственные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/>
        </w:tc>
      </w:tr>
      <w:tr w:rsidR="001D0FA1" w:rsidTr="006E5C56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FA1" w:rsidRDefault="006E5C56" w:rsidP="00553AE0">
            <w:pPr>
              <w:widowControl/>
              <w:spacing w:before="60"/>
              <w:jc w:val="both"/>
              <w:rPr>
                <w:spacing w:val="-2"/>
              </w:rPr>
            </w:pPr>
            <w:r>
              <w:rPr>
                <w:spacing w:val="-2"/>
              </w:rPr>
              <w:t>Февраль</w:t>
            </w:r>
            <w:r w:rsidR="001D0FA1">
              <w:rPr>
                <w:spacing w:val="-2"/>
              </w:rPr>
              <w:t xml:space="preserve"> 2022</w:t>
            </w:r>
            <w:r w:rsidR="001D0FA1">
              <w:rPr>
                <w:spacing w:val="-2"/>
                <w:lang w:val="en-US"/>
              </w:rPr>
              <w:t xml:space="preserve"> </w:t>
            </w:r>
            <w:proofErr w:type="gramStart"/>
            <w:r w:rsidR="001D0FA1">
              <w:rPr>
                <w:spacing w:val="-2"/>
              </w:rPr>
              <w:t>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spacing w:before="60"/>
              <w:ind w:left="-108" w:right="318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spacing w:before="60"/>
              <w:ind w:left="-108" w:right="601"/>
              <w:jc w:val="center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spacing w:before="60"/>
              <w:ind w:left="-108" w:right="601"/>
              <w:jc w:val="center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spacing w:before="60"/>
              <w:ind w:left="-108" w:right="742"/>
              <w:jc w:val="center"/>
              <w:rPr>
                <w:spacing w:val="-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553AE0">
            <w:pPr>
              <w:widowControl/>
              <w:tabs>
                <w:tab w:val="left" w:pos="939"/>
              </w:tabs>
              <w:spacing w:before="60"/>
              <w:ind w:right="317"/>
              <w:jc w:val="center"/>
              <w:rPr>
                <w:spacing w:val="-2"/>
              </w:rPr>
            </w:pPr>
          </w:p>
        </w:tc>
      </w:tr>
      <w:tr w:rsidR="006E5C56" w:rsidTr="006E5C56">
        <w:tc>
          <w:tcPr>
            <w:tcW w:w="2127" w:type="dxa"/>
            <w:tcBorders>
              <w:left w:val="single" w:sz="4" w:space="0" w:color="000000"/>
            </w:tcBorders>
            <w:vAlign w:val="bottom"/>
          </w:tcPr>
          <w:p w:rsidR="006E5C56" w:rsidRDefault="006E5C56" w:rsidP="00553AE0">
            <w:pPr>
              <w:widowControl/>
              <w:ind w:left="34"/>
              <w:rPr>
                <w:spacing w:val="-2"/>
              </w:rPr>
            </w:pPr>
            <w:r>
              <w:rPr>
                <w:spacing w:val="-2"/>
              </w:rPr>
              <w:t>январю 2022</w:t>
            </w:r>
          </w:p>
        </w:tc>
        <w:tc>
          <w:tcPr>
            <w:tcW w:w="1417" w:type="dxa"/>
            <w:vAlign w:val="bottom"/>
          </w:tcPr>
          <w:p w:rsidR="006E5C56" w:rsidRDefault="00B33707" w:rsidP="00553AE0">
            <w:pPr>
              <w:widowControl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101,</w:t>
            </w:r>
            <w:r w:rsidR="005C60B3">
              <w:rPr>
                <w:spacing w:val="-2"/>
              </w:rPr>
              <w:t>46</w:t>
            </w:r>
          </w:p>
        </w:tc>
        <w:tc>
          <w:tcPr>
            <w:tcW w:w="1418" w:type="dxa"/>
          </w:tcPr>
          <w:p w:rsidR="006E5C56" w:rsidRPr="00B33707" w:rsidRDefault="00B33707" w:rsidP="00553AE0">
            <w:pPr>
              <w:widowControl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101,</w:t>
            </w:r>
            <w:r w:rsidR="005C60B3">
              <w:rPr>
                <w:spacing w:val="-2"/>
              </w:rPr>
              <w:t>55</w:t>
            </w:r>
          </w:p>
        </w:tc>
        <w:tc>
          <w:tcPr>
            <w:tcW w:w="1559" w:type="dxa"/>
          </w:tcPr>
          <w:p w:rsidR="006E5C56" w:rsidRDefault="00B33707" w:rsidP="00553AE0">
            <w:pPr>
              <w:widowControl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101,</w:t>
            </w:r>
            <w:r w:rsidR="005C60B3">
              <w:rPr>
                <w:spacing w:val="-2"/>
              </w:rPr>
              <w:t>69</w:t>
            </w:r>
          </w:p>
        </w:tc>
        <w:tc>
          <w:tcPr>
            <w:tcW w:w="1701" w:type="dxa"/>
            <w:vAlign w:val="bottom"/>
          </w:tcPr>
          <w:p w:rsidR="006E5C56" w:rsidRDefault="00B33707" w:rsidP="00553AE0">
            <w:pPr>
              <w:widowControl/>
              <w:ind w:left="-108" w:right="317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101,</w:t>
            </w:r>
            <w:r w:rsidR="005C60B3">
              <w:rPr>
                <w:spacing w:val="-2"/>
              </w:rPr>
              <w:t>4</w:t>
            </w:r>
            <w:r>
              <w:rPr>
                <w:spacing w:val="-2"/>
              </w:rPr>
              <w:t>5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vAlign w:val="bottom"/>
          </w:tcPr>
          <w:p w:rsidR="006E5C56" w:rsidRDefault="00B33707" w:rsidP="00553AE0">
            <w:pPr>
              <w:widowControl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101,2</w:t>
            </w:r>
            <w:r w:rsidR="005C60B3">
              <w:rPr>
                <w:spacing w:val="-2"/>
              </w:rPr>
              <w:t>3</w:t>
            </w:r>
          </w:p>
        </w:tc>
      </w:tr>
      <w:tr w:rsidR="001D0FA1" w:rsidTr="004F3B5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0FA1" w:rsidRDefault="001D0FA1" w:rsidP="00553AE0">
            <w:pPr>
              <w:widowControl/>
              <w:spacing w:after="60"/>
              <w:ind w:left="34"/>
              <w:rPr>
                <w:spacing w:val="-2"/>
              </w:rPr>
            </w:pPr>
            <w:r>
              <w:rPr>
                <w:spacing w:val="-2"/>
              </w:rPr>
              <w:t>декабрю 2021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1D0FA1" w:rsidRDefault="00B33707" w:rsidP="00553AE0">
            <w:pPr>
              <w:widowControl/>
              <w:spacing w:after="60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102,</w:t>
            </w:r>
            <w:r w:rsidR="005C60B3">
              <w:rPr>
                <w:spacing w:val="-2"/>
              </w:rPr>
              <w:t>39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D0FA1" w:rsidRPr="006F52AC" w:rsidRDefault="00B33707" w:rsidP="00553AE0">
            <w:pPr>
              <w:widowControl/>
              <w:spacing w:after="60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5C60B3">
              <w:rPr>
                <w:spacing w:val="-2"/>
              </w:rPr>
              <w:t>2</w:t>
            </w:r>
            <w:r>
              <w:rPr>
                <w:spacing w:val="-2"/>
              </w:rPr>
              <w:t>,</w:t>
            </w:r>
            <w:r w:rsidR="005C60B3">
              <w:rPr>
                <w:spacing w:val="-2"/>
              </w:rPr>
              <w:t>95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D0FA1" w:rsidRDefault="00B33707" w:rsidP="00553AE0">
            <w:pPr>
              <w:widowControl/>
              <w:spacing w:after="60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103,</w:t>
            </w:r>
            <w:r w:rsidR="005C60B3">
              <w:rPr>
                <w:spacing w:val="-2"/>
              </w:rPr>
              <w:t>56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1D0FA1" w:rsidRDefault="00B33707" w:rsidP="00553AE0">
            <w:pPr>
              <w:widowControl/>
              <w:spacing w:after="60"/>
              <w:ind w:left="-108" w:right="317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102,</w:t>
            </w:r>
            <w:r w:rsidR="005C60B3">
              <w:rPr>
                <w:spacing w:val="-2"/>
              </w:rPr>
              <w:t>49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D0FA1" w:rsidRDefault="00B33707" w:rsidP="00553AE0">
            <w:pPr>
              <w:widowControl/>
              <w:spacing w:after="60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101,0</w:t>
            </w:r>
            <w:r w:rsidR="005C60B3">
              <w:rPr>
                <w:spacing w:val="-2"/>
              </w:rPr>
              <w:t>0</w:t>
            </w:r>
          </w:p>
        </w:tc>
      </w:tr>
    </w:tbl>
    <w:p w:rsidR="00AB0C09" w:rsidRPr="00553AE0" w:rsidRDefault="00AB0C09" w:rsidP="00553AE0">
      <w:pPr>
        <w:widowControl/>
        <w:ind w:firstLine="709"/>
        <w:jc w:val="both"/>
        <w:rPr>
          <w:sz w:val="22"/>
          <w:szCs w:val="22"/>
          <w:lang w:val="en-US"/>
        </w:rPr>
      </w:pPr>
    </w:p>
    <w:p w:rsidR="005E6C12" w:rsidRDefault="00EF0F2C" w:rsidP="00553AE0">
      <w:pPr>
        <w:widowControl/>
        <w:ind w:firstLine="709"/>
        <w:jc w:val="both"/>
        <w:rPr>
          <w:spacing w:val="-4"/>
          <w:sz w:val="26"/>
          <w:szCs w:val="26"/>
        </w:rPr>
      </w:pPr>
      <w:r w:rsidRPr="00311298">
        <w:rPr>
          <w:spacing w:val="-4"/>
          <w:sz w:val="26"/>
        </w:rPr>
        <w:t xml:space="preserve">В </w:t>
      </w:r>
      <w:r w:rsidR="00B33707">
        <w:rPr>
          <w:spacing w:val="-4"/>
          <w:sz w:val="26"/>
        </w:rPr>
        <w:t>феврале</w:t>
      </w:r>
      <w:r w:rsidRPr="00311298">
        <w:rPr>
          <w:spacing w:val="-4"/>
          <w:sz w:val="26"/>
        </w:rPr>
        <w:t xml:space="preserve"> 202</w:t>
      </w:r>
      <w:r>
        <w:rPr>
          <w:spacing w:val="-4"/>
          <w:sz w:val="26"/>
        </w:rPr>
        <w:t>2</w:t>
      </w:r>
      <w:r w:rsidRPr="00311298">
        <w:rPr>
          <w:spacing w:val="-4"/>
          <w:sz w:val="26"/>
        </w:rPr>
        <w:t xml:space="preserve"> года по сравнению с предыдущим месяцем </w:t>
      </w:r>
      <w:r w:rsidRPr="00311298">
        <w:rPr>
          <w:spacing w:val="-4"/>
          <w:sz w:val="26"/>
          <w:szCs w:val="26"/>
        </w:rPr>
        <w:t>по группам продовол</w:t>
      </w:r>
      <w:r w:rsidRPr="00311298">
        <w:rPr>
          <w:spacing w:val="-4"/>
          <w:sz w:val="26"/>
          <w:szCs w:val="26"/>
        </w:rPr>
        <w:t>ь</w:t>
      </w:r>
      <w:r w:rsidRPr="00311298">
        <w:rPr>
          <w:spacing w:val="-4"/>
          <w:sz w:val="26"/>
          <w:szCs w:val="26"/>
        </w:rPr>
        <w:t>ственных товаров</w:t>
      </w:r>
      <w:r w:rsidR="005C60B3">
        <w:rPr>
          <w:spacing w:val="-4"/>
          <w:sz w:val="26"/>
          <w:szCs w:val="26"/>
        </w:rPr>
        <w:t xml:space="preserve"> наибольший прирост цен наблюдался на </w:t>
      </w:r>
      <w:r w:rsidR="0028318D">
        <w:rPr>
          <w:spacing w:val="-4"/>
          <w:sz w:val="26"/>
          <w:szCs w:val="26"/>
        </w:rPr>
        <w:t xml:space="preserve">отдельные виды </w:t>
      </w:r>
      <w:r w:rsidR="005C60B3">
        <w:rPr>
          <w:spacing w:val="-4"/>
          <w:sz w:val="26"/>
          <w:szCs w:val="26"/>
        </w:rPr>
        <w:t>овощ</w:t>
      </w:r>
      <w:r w:rsidR="0028318D">
        <w:rPr>
          <w:spacing w:val="-4"/>
          <w:sz w:val="26"/>
          <w:szCs w:val="26"/>
        </w:rPr>
        <w:t>ей</w:t>
      </w:r>
      <w:r w:rsidR="005C60B3">
        <w:rPr>
          <w:spacing w:val="-4"/>
          <w:sz w:val="26"/>
          <w:szCs w:val="26"/>
        </w:rPr>
        <w:t xml:space="preserve"> </w:t>
      </w:r>
      <w:r w:rsidR="00671CE2">
        <w:rPr>
          <w:spacing w:val="-4"/>
          <w:sz w:val="26"/>
          <w:szCs w:val="26"/>
        </w:rPr>
        <w:t xml:space="preserve">       </w:t>
      </w:r>
      <w:r w:rsidR="005C60B3">
        <w:rPr>
          <w:spacing w:val="-4"/>
          <w:sz w:val="26"/>
          <w:szCs w:val="26"/>
        </w:rPr>
        <w:t>(на 9,6%)</w:t>
      </w:r>
      <w:r w:rsidR="00EF502F">
        <w:rPr>
          <w:spacing w:val="-4"/>
          <w:sz w:val="26"/>
          <w:szCs w:val="26"/>
        </w:rPr>
        <w:t>, фрукт</w:t>
      </w:r>
      <w:r w:rsidR="0028318D">
        <w:rPr>
          <w:spacing w:val="-4"/>
          <w:sz w:val="26"/>
          <w:szCs w:val="26"/>
        </w:rPr>
        <w:t>ов</w:t>
      </w:r>
      <w:r w:rsidR="00EF502F">
        <w:rPr>
          <w:spacing w:val="-4"/>
          <w:sz w:val="26"/>
          <w:szCs w:val="26"/>
        </w:rPr>
        <w:t xml:space="preserve"> и цитрусовы</w:t>
      </w:r>
      <w:r w:rsidR="0028318D">
        <w:rPr>
          <w:spacing w:val="-4"/>
          <w:sz w:val="26"/>
          <w:szCs w:val="26"/>
        </w:rPr>
        <w:t>х</w:t>
      </w:r>
      <w:r w:rsidR="00EF502F">
        <w:rPr>
          <w:spacing w:val="-4"/>
          <w:sz w:val="26"/>
          <w:szCs w:val="26"/>
        </w:rPr>
        <w:t xml:space="preserve"> (на 3,7%)</w:t>
      </w:r>
      <w:r w:rsidR="005C60B3">
        <w:rPr>
          <w:spacing w:val="-4"/>
          <w:sz w:val="26"/>
          <w:szCs w:val="26"/>
        </w:rPr>
        <w:t xml:space="preserve">. Значительно подорожали свежие огурцы </w:t>
      </w:r>
      <w:r w:rsidR="00671CE2">
        <w:rPr>
          <w:spacing w:val="-4"/>
          <w:sz w:val="26"/>
          <w:szCs w:val="26"/>
        </w:rPr>
        <w:t xml:space="preserve">     </w:t>
      </w:r>
      <w:r w:rsidR="005C60B3">
        <w:rPr>
          <w:spacing w:val="-4"/>
          <w:sz w:val="26"/>
          <w:szCs w:val="26"/>
        </w:rPr>
        <w:t xml:space="preserve">(на 19,1), белокочанная капуста (на 16,1), </w:t>
      </w:r>
      <w:r w:rsidR="00EF502F">
        <w:rPr>
          <w:spacing w:val="-4"/>
          <w:sz w:val="26"/>
          <w:szCs w:val="26"/>
        </w:rPr>
        <w:t>бананы и груши (на 12,9), морковь (на 11,7), в</w:t>
      </w:r>
      <w:r w:rsidR="00EF502F">
        <w:rPr>
          <w:spacing w:val="-4"/>
          <w:sz w:val="26"/>
          <w:szCs w:val="26"/>
        </w:rPr>
        <w:t>и</w:t>
      </w:r>
      <w:r w:rsidR="00EF502F">
        <w:rPr>
          <w:spacing w:val="-4"/>
          <w:sz w:val="26"/>
          <w:szCs w:val="26"/>
        </w:rPr>
        <w:t>ноград (на 9,5), свежие помидоры (на 7,0), апельсины (</w:t>
      </w:r>
      <w:proofErr w:type="gramStart"/>
      <w:r w:rsidR="00EF502F">
        <w:rPr>
          <w:spacing w:val="-4"/>
          <w:sz w:val="26"/>
          <w:szCs w:val="26"/>
        </w:rPr>
        <w:t>на</w:t>
      </w:r>
      <w:proofErr w:type="gramEnd"/>
      <w:r w:rsidR="00EF502F">
        <w:rPr>
          <w:spacing w:val="-4"/>
          <w:sz w:val="26"/>
          <w:szCs w:val="26"/>
        </w:rPr>
        <w:t xml:space="preserve"> 5,1%). Вместе с тем снизились цены на яблоки (на 3,2%), лимоны (на 2,9), картофель (на 2,1)</w:t>
      </w:r>
      <w:r w:rsidR="007056F2">
        <w:rPr>
          <w:spacing w:val="-4"/>
          <w:sz w:val="26"/>
          <w:szCs w:val="26"/>
        </w:rPr>
        <w:t xml:space="preserve">, чеснок (на 0,5) и </w:t>
      </w:r>
      <w:r w:rsidR="00866FEE">
        <w:rPr>
          <w:spacing w:val="-4"/>
          <w:sz w:val="26"/>
          <w:szCs w:val="26"/>
        </w:rPr>
        <w:t xml:space="preserve">столовую </w:t>
      </w:r>
      <w:r w:rsidR="007056F2">
        <w:rPr>
          <w:spacing w:val="-4"/>
          <w:sz w:val="26"/>
          <w:szCs w:val="26"/>
        </w:rPr>
        <w:t>свёклу</w:t>
      </w:r>
      <w:r w:rsidR="00E04E70">
        <w:rPr>
          <w:spacing w:val="-4"/>
          <w:sz w:val="26"/>
          <w:szCs w:val="26"/>
        </w:rPr>
        <w:t xml:space="preserve"> </w:t>
      </w:r>
      <w:r w:rsidR="007056F2">
        <w:rPr>
          <w:spacing w:val="-4"/>
          <w:sz w:val="26"/>
          <w:szCs w:val="26"/>
        </w:rPr>
        <w:t>(</w:t>
      </w:r>
      <w:r w:rsidR="0028318D">
        <w:rPr>
          <w:spacing w:val="-4"/>
          <w:sz w:val="26"/>
          <w:szCs w:val="26"/>
        </w:rPr>
        <w:t xml:space="preserve">на </w:t>
      </w:r>
      <w:r w:rsidR="007056F2">
        <w:rPr>
          <w:spacing w:val="-4"/>
          <w:sz w:val="26"/>
          <w:szCs w:val="26"/>
        </w:rPr>
        <w:t>0,4%)</w:t>
      </w:r>
      <w:r w:rsidR="00EF502F">
        <w:rPr>
          <w:spacing w:val="-4"/>
          <w:sz w:val="26"/>
          <w:szCs w:val="26"/>
        </w:rPr>
        <w:t>.</w:t>
      </w:r>
    </w:p>
    <w:p w:rsidR="00AB0C09" w:rsidRDefault="00B11AFE" w:rsidP="00553AE0">
      <w:pPr>
        <w:widowControl/>
        <w:ind w:firstLine="709"/>
        <w:jc w:val="both"/>
        <w:rPr>
          <w:spacing w:val="-4"/>
          <w:sz w:val="26"/>
        </w:rPr>
      </w:pPr>
      <w:r>
        <w:rPr>
          <w:spacing w:val="-4"/>
          <w:sz w:val="26"/>
        </w:rPr>
        <w:t xml:space="preserve">Повысились цены на фруктово-ягодные консервы (на 4,0%), мороженое (на 3,8), сыр (на 2,6), </w:t>
      </w:r>
      <w:r w:rsidRPr="00311298">
        <w:rPr>
          <w:spacing w:val="-4"/>
          <w:sz w:val="26"/>
        </w:rPr>
        <w:t xml:space="preserve">макаронные </w:t>
      </w:r>
      <w:r>
        <w:rPr>
          <w:spacing w:val="-4"/>
          <w:sz w:val="26"/>
        </w:rPr>
        <w:t xml:space="preserve">и крупяные </w:t>
      </w:r>
      <w:r w:rsidRPr="00311298">
        <w:rPr>
          <w:spacing w:val="-4"/>
          <w:sz w:val="26"/>
        </w:rPr>
        <w:t>изделия</w:t>
      </w:r>
      <w:r w:rsidR="00386565">
        <w:rPr>
          <w:spacing w:val="-4"/>
          <w:sz w:val="26"/>
        </w:rPr>
        <w:t xml:space="preserve"> (на 2,1%). </w:t>
      </w:r>
      <w:r w:rsidR="00553AE0">
        <w:rPr>
          <w:spacing w:val="-4"/>
          <w:sz w:val="26"/>
        </w:rPr>
        <w:t>Из мясопродуктов наиболее под</w:t>
      </w:r>
      <w:r w:rsidR="00553AE0">
        <w:rPr>
          <w:spacing w:val="-4"/>
          <w:sz w:val="26"/>
        </w:rPr>
        <w:t>о</w:t>
      </w:r>
      <w:r w:rsidR="00553AE0">
        <w:rPr>
          <w:spacing w:val="-4"/>
          <w:sz w:val="26"/>
        </w:rPr>
        <w:t xml:space="preserve">рожали мясные консервы (на 1,9%), бескостная говядина (на 1,1), колбасные изделия </w:t>
      </w:r>
      <w:r w:rsidR="00E04E70">
        <w:rPr>
          <w:spacing w:val="-4"/>
          <w:sz w:val="26"/>
        </w:rPr>
        <w:t xml:space="preserve">     </w:t>
      </w:r>
      <w:r w:rsidR="00553AE0">
        <w:rPr>
          <w:spacing w:val="-4"/>
          <w:sz w:val="26"/>
        </w:rPr>
        <w:t>(на 0,8%).</w:t>
      </w:r>
    </w:p>
    <w:p w:rsidR="00553AE0" w:rsidRPr="00A12F62" w:rsidRDefault="00553AE0" w:rsidP="00553AE0">
      <w:pPr>
        <w:widowControl/>
        <w:spacing w:line="245" w:lineRule="auto"/>
        <w:ind w:firstLine="709"/>
        <w:jc w:val="both"/>
      </w:pPr>
    </w:p>
    <w:tbl>
      <w:tblPr>
        <w:tblW w:w="0" w:type="auto"/>
        <w:tblInd w:w="1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85"/>
      </w:tblGrid>
      <w:tr w:rsidR="00AB0C09" w:rsidTr="00BD5964">
        <w:trPr>
          <w:trHeight w:val="100"/>
        </w:trPr>
        <w:tc>
          <w:tcPr>
            <w:tcW w:w="3285" w:type="dxa"/>
          </w:tcPr>
          <w:p w:rsidR="00AB0C09" w:rsidRDefault="00AB0C09" w:rsidP="00BD5964">
            <w:pPr>
              <w:outlineLvl w:val="0"/>
              <w:rPr>
                <w:sz w:val="12"/>
                <w:szCs w:val="12"/>
              </w:rPr>
            </w:pPr>
          </w:p>
        </w:tc>
      </w:tr>
    </w:tbl>
    <w:p w:rsidR="00EF0F2C" w:rsidRPr="00553AE0" w:rsidRDefault="00EF0F2C" w:rsidP="00553AE0">
      <w:pPr>
        <w:suppressAutoHyphens/>
        <w:spacing w:line="228" w:lineRule="auto"/>
        <w:jc w:val="both"/>
        <w:rPr>
          <w:i/>
          <w:spacing w:val="-2"/>
          <w:sz w:val="20"/>
        </w:rPr>
      </w:pPr>
      <w:r w:rsidRPr="00553AE0">
        <w:rPr>
          <w:i/>
          <w:spacing w:val="-2"/>
          <w:sz w:val="20"/>
          <w:vertAlign w:val="superscript"/>
        </w:rPr>
        <w:t xml:space="preserve">1) </w:t>
      </w:r>
      <w:r w:rsidRPr="00553AE0">
        <w:rPr>
          <w:i/>
          <w:spacing w:val="-2"/>
          <w:sz w:val="20"/>
        </w:rPr>
        <w:t xml:space="preserve">Расчёт </w:t>
      </w:r>
      <w:r w:rsidRPr="00553AE0">
        <w:rPr>
          <w:rFonts w:ascii="Times New Roman CYR" w:eastAsiaTheme="minorHAnsi" w:hAnsi="Times New Roman CYR" w:cs="Times New Roman CYR"/>
          <w:i/>
          <w:color w:val="00000A"/>
          <w:spacing w:val="-2"/>
          <w:sz w:val="20"/>
          <w:lang w:eastAsia="en-US"/>
        </w:rPr>
        <w:t>индекс</w:t>
      </w:r>
      <w:r w:rsidR="0075522A" w:rsidRPr="00553AE0">
        <w:rPr>
          <w:rFonts w:ascii="Times New Roman CYR" w:eastAsiaTheme="minorHAnsi" w:hAnsi="Times New Roman CYR" w:cs="Times New Roman CYR"/>
          <w:i/>
          <w:color w:val="00000A"/>
          <w:spacing w:val="-2"/>
          <w:sz w:val="20"/>
          <w:lang w:eastAsia="en-US"/>
        </w:rPr>
        <w:t>ов</w:t>
      </w:r>
      <w:r w:rsidRPr="00553AE0">
        <w:rPr>
          <w:rFonts w:ascii="Times New Roman CYR" w:eastAsiaTheme="minorHAnsi" w:hAnsi="Times New Roman CYR" w:cs="Times New Roman CYR"/>
          <w:i/>
          <w:color w:val="00000A"/>
          <w:spacing w:val="-2"/>
          <w:sz w:val="20"/>
          <w:lang w:eastAsia="en-US"/>
        </w:rPr>
        <w:t xml:space="preserve"> потребительских цен осуществлён согласно </w:t>
      </w:r>
      <w:r w:rsidRPr="00553AE0">
        <w:rPr>
          <w:i/>
          <w:spacing w:val="-2"/>
          <w:sz w:val="20"/>
        </w:rPr>
        <w:t xml:space="preserve">Официальной статистической методологии наблюдения за потребительскими ценами на товары и услуги и расчёта индексов потребительских цен, утверждённой приказом Росстата от 15.12.2021 № 915. </w:t>
      </w:r>
      <w:proofErr w:type="gramStart"/>
      <w:r w:rsidRPr="00553AE0">
        <w:rPr>
          <w:rFonts w:ascii="Times New Roman CYR" w:eastAsiaTheme="minorHAnsi" w:hAnsi="Times New Roman CYR" w:cs="Times New Roman CYR"/>
          <w:i/>
          <w:color w:val="00000A"/>
          <w:spacing w:val="-2"/>
          <w:sz w:val="20"/>
          <w:lang w:eastAsia="en-US"/>
        </w:rPr>
        <w:t xml:space="preserve">Для расчёта индексов цен на отдельные виды товаров и услуг используются доли численности населения городов, в которых осуществляется наблюдение за ценами </w:t>
      </w:r>
      <w:r w:rsidR="00050209" w:rsidRPr="00553AE0">
        <w:rPr>
          <w:spacing w:val="-2"/>
          <w:sz w:val="16"/>
          <w:szCs w:val="16"/>
        </w:rPr>
        <w:br/>
      </w:r>
      <w:r w:rsidRPr="00553AE0">
        <w:rPr>
          <w:rFonts w:ascii="Times New Roman CYR" w:eastAsiaTheme="minorHAnsi" w:hAnsi="Times New Roman CYR" w:cs="Times New Roman CYR"/>
          <w:i/>
          <w:color w:val="00000A"/>
          <w:spacing w:val="-2"/>
          <w:sz w:val="20"/>
          <w:lang w:eastAsia="en-US"/>
        </w:rPr>
        <w:t>(с учётом их увеличения на численность населения городов, не включённых в наблюдение), для расчёта групповых и сводного индексов потребительских цен – структура потребительских расходов населения по субъекту Российской Федерации.</w:t>
      </w:r>
      <w:proofErr w:type="gramEnd"/>
    </w:p>
    <w:p w:rsidR="005E6C12" w:rsidRDefault="005E6C12" w:rsidP="00933C3D">
      <w:pPr>
        <w:widowControl/>
        <w:spacing w:line="245" w:lineRule="auto"/>
        <w:ind w:firstLine="709"/>
        <w:jc w:val="both"/>
        <w:rPr>
          <w:spacing w:val="-4"/>
          <w:sz w:val="26"/>
        </w:rPr>
      </w:pPr>
    </w:p>
    <w:p w:rsidR="00933C3D" w:rsidRPr="00311298" w:rsidRDefault="00154F44" w:rsidP="00933C3D">
      <w:pPr>
        <w:widowControl/>
        <w:spacing w:line="245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</w:rPr>
        <w:t>В</w:t>
      </w:r>
      <w:r w:rsidR="00933C3D">
        <w:rPr>
          <w:spacing w:val="-4"/>
          <w:sz w:val="26"/>
        </w:rPr>
        <w:t xml:space="preserve">озросли цены на </w:t>
      </w:r>
      <w:r>
        <w:rPr>
          <w:spacing w:val="-4"/>
          <w:sz w:val="26"/>
        </w:rPr>
        <w:t>чай, кофе, какао (на 1,8%), соус, соль, специи и концентраты, р</w:t>
      </w:r>
      <w:r>
        <w:rPr>
          <w:spacing w:val="-4"/>
          <w:sz w:val="26"/>
        </w:rPr>
        <w:t>ы</w:t>
      </w:r>
      <w:r>
        <w:rPr>
          <w:spacing w:val="-4"/>
          <w:sz w:val="26"/>
        </w:rPr>
        <w:t>бопродукты (на 1,6), кондитерские изделия (на 1,5), молоко и молочную продукцию</w:t>
      </w:r>
      <w:r w:rsidR="00C31D28">
        <w:rPr>
          <w:spacing w:val="-4"/>
          <w:sz w:val="26"/>
        </w:rPr>
        <w:t xml:space="preserve"> </w:t>
      </w:r>
      <w:r w:rsidR="0058352B">
        <w:rPr>
          <w:spacing w:val="-4"/>
          <w:sz w:val="26"/>
        </w:rPr>
        <w:t xml:space="preserve">      </w:t>
      </w:r>
      <w:r w:rsidR="00C31D28">
        <w:rPr>
          <w:spacing w:val="-4"/>
          <w:sz w:val="26"/>
        </w:rPr>
        <w:t xml:space="preserve">(на 1,4), </w:t>
      </w:r>
      <w:r>
        <w:rPr>
          <w:spacing w:val="-4"/>
          <w:sz w:val="26"/>
        </w:rPr>
        <w:t>масло и жиры  (на 1,</w:t>
      </w:r>
      <w:r w:rsidR="00C31D28">
        <w:rPr>
          <w:spacing w:val="-4"/>
          <w:sz w:val="26"/>
        </w:rPr>
        <w:t>3</w:t>
      </w:r>
      <w:r>
        <w:rPr>
          <w:spacing w:val="-4"/>
          <w:sz w:val="26"/>
        </w:rPr>
        <w:t>), муку (</w:t>
      </w:r>
      <w:proofErr w:type="gramStart"/>
      <w:r>
        <w:rPr>
          <w:spacing w:val="-4"/>
          <w:sz w:val="26"/>
        </w:rPr>
        <w:t>на</w:t>
      </w:r>
      <w:proofErr w:type="gramEnd"/>
      <w:r>
        <w:rPr>
          <w:spacing w:val="-4"/>
          <w:sz w:val="26"/>
        </w:rPr>
        <w:t xml:space="preserve"> 1,2%). </w:t>
      </w:r>
      <w:r w:rsidR="00933C3D">
        <w:rPr>
          <w:spacing w:val="-4"/>
          <w:sz w:val="26"/>
        </w:rPr>
        <w:t>Снизились цены на</w:t>
      </w:r>
      <w:r w:rsidR="00933C3D">
        <w:rPr>
          <w:spacing w:val="-4"/>
          <w:sz w:val="26"/>
          <w:szCs w:val="26"/>
        </w:rPr>
        <w:t xml:space="preserve"> яйца</w:t>
      </w:r>
      <w:r w:rsidR="00933C3D" w:rsidRPr="00311298">
        <w:rPr>
          <w:spacing w:val="-4"/>
          <w:sz w:val="26"/>
          <w:szCs w:val="26"/>
        </w:rPr>
        <w:t xml:space="preserve"> (на </w:t>
      </w:r>
      <w:r w:rsidR="00933C3D">
        <w:rPr>
          <w:spacing w:val="-4"/>
          <w:sz w:val="26"/>
          <w:szCs w:val="26"/>
        </w:rPr>
        <w:t>1</w:t>
      </w:r>
      <w:r w:rsidR="00933C3D" w:rsidRPr="00311298">
        <w:rPr>
          <w:spacing w:val="-4"/>
          <w:sz w:val="26"/>
          <w:szCs w:val="26"/>
        </w:rPr>
        <w:t>,</w:t>
      </w:r>
      <w:r w:rsidR="00933C3D">
        <w:rPr>
          <w:spacing w:val="-4"/>
          <w:sz w:val="26"/>
          <w:szCs w:val="26"/>
        </w:rPr>
        <w:t>3</w:t>
      </w:r>
      <w:r w:rsidR="00933C3D" w:rsidRPr="00311298">
        <w:rPr>
          <w:spacing w:val="-4"/>
          <w:sz w:val="26"/>
          <w:szCs w:val="26"/>
        </w:rPr>
        <w:t>%)</w:t>
      </w:r>
      <w:r w:rsidR="00933C3D">
        <w:rPr>
          <w:spacing w:val="-4"/>
          <w:sz w:val="26"/>
          <w:szCs w:val="26"/>
        </w:rPr>
        <w:t>, охл</w:t>
      </w:r>
      <w:r w:rsidR="00933C3D">
        <w:rPr>
          <w:spacing w:val="-4"/>
          <w:sz w:val="26"/>
          <w:szCs w:val="26"/>
        </w:rPr>
        <w:t>а</w:t>
      </w:r>
      <w:r w:rsidR="00933C3D">
        <w:rPr>
          <w:spacing w:val="-4"/>
          <w:sz w:val="26"/>
          <w:szCs w:val="26"/>
        </w:rPr>
        <w:t xml:space="preserve">ждённые и мороженые куры (на 1,0), куриные окорочка (на 0,4%). </w:t>
      </w:r>
    </w:p>
    <w:p w:rsidR="005B08A8" w:rsidRDefault="00933C3D" w:rsidP="00933C3D">
      <w:pPr>
        <w:widowControl/>
        <w:spacing w:line="245" w:lineRule="auto"/>
        <w:ind w:firstLine="709"/>
        <w:jc w:val="both"/>
        <w:rPr>
          <w:spacing w:val="-4"/>
          <w:sz w:val="26"/>
        </w:rPr>
      </w:pPr>
      <w:r w:rsidRPr="002F3823">
        <w:rPr>
          <w:spacing w:val="-4"/>
          <w:sz w:val="26"/>
        </w:rPr>
        <w:t xml:space="preserve">По группам непродовольственных товаров </w:t>
      </w:r>
      <w:r w:rsidR="006535F4">
        <w:rPr>
          <w:spacing w:val="-4"/>
          <w:sz w:val="26"/>
        </w:rPr>
        <w:t xml:space="preserve">наиболее </w:t>
      </w:r>
      <w:r w:rsidRPr="002F3823">
        <w:rPr>
          <w:spacing w:val="-4"/>
          <w:sz w:val="26"/>
          <w:szCs w:val="26"/>
        </w:rPr>
        <w:t>подорожали</w:t>
      </w:r>
      <w:r w:rsidRPr="002F3823">
        <w:rPr>
          <w:spacing w:val="-4"/>
          <w:sz w:val="26"/>
        </w:rPr>
        <w:t xml:space="preserve"> </w:t>
      </w:r>
      <w:r w:rsidR="006535F4">
        <w:rPr>
          <w:spacing w:val="-4"/>
          <w:sz w:val="26"/>
        </w:rPr>
        <w:t>средства связи</w:t>
      </w:r>
      <w:r w:rsidRPr="002F3823">
        <w:rPr>
          <w:spacing w:val="-4"/>
          <w:sz w:val="26"/>
        </w:rPr>
        <w:t xml:space="preserve"> </w:t>
      </w:r>
      <w:r w:rsidR="0058352B">
        <w:rPr>
          <w:spacing w:val="-4"/>
          <w:sz w:val="26"/>
        </w:rPr>
        <w:t xml:space="preserve"> </w:t>
      </w:r>
      <w:r w:rsidRPr="002F3823">
        <w:rPr>
          <w:spacing w:val="-4"/>
          <w:sz w:val="26"/>
        </w:rPr>
        <w:t xml:space="preserve">(на </w:t>
      </w:r>
      <w:r w:rsidR="006535F4">
        <w:rPr>
          <w:spacing w:val="-4"/>
          <w:sz w:val="26"/>
        </w:rPr>
        <w:t>15,2</w:t>
      </w:r>
      <w:r w:rsidRPr="002F3823">
        <w:rPr>
          <w:spacing w:val="-4"/>
          <w:sz w:val="26"/>
        </w:rPr>
        <w:t xml:space="preserve">%), </w:t>
      </w:r>
      <w:proofErr w:type="spellStart"/>
      <w:r w:rsidR="00785D53">
        <w:rPr>
          <w:spacing w:val="-4"/>
          <w:sz w:val="26"/>
        </w:rPr>
        <w:t>телерадиотовары</w:t>
      </w:r>
      <w:proofErr w:type="spellEnd"/>
      <w:r w:rsidRPr="002F3823">
        <w:rPr>
          <w:spacing w:val="-4"/>
          <w:sz w:val="26"/>
        </w:rPr>
        <w:t xml:space="preserve"> (на </w:t>
      </w:r>
      <w:r w:rsidR="00785D53">
        <w:rPr>
          <w:spacing w:val="-4"/>
          <w:sz w:val="26"/>
        </w:rPr>
        <w:t>12</w:t>
      </w:r>
      <w:r w:rsidRPr="002F3823">
        <w:rPr>
          <w:spacing w:val="-4"/>
          <w:sz w:val="26"/>
        </w:rPr>
        <w:t>,</w:t>
      </w:r>
      <w:r w:rsidR="00785D53">
        <w:rPr>
          <w:spacing w:val="-4"/>
          <w:sz w:val="26"/>
        </w:rPr>
        <w:t>7</w:t>
      </w:r>
      <w:r w:rsidRPr="002F3823">
        <w:rPr>
          <w:spacing w:val="-4"/>
          <w:sz w:val="26"/>
        </w:rPr>
        <w:t xml:space="preserve">), </w:t>
      </w:r>
      <w:r w:rsidR="00785D53">
        <w:rPr>
          <w:spacing w:val="-4"/>
          <w:sz w:val="26"/>
        </w:rPr>
        <w:t>свежесрезанные цветы (на 11,3), персональные компьютеры (на 6,9), электротовары и другие бытовые приборы</w:t>
      </w:r>
      <w:r w:rsidRPr="002F3823">
        <w:rPr>
          <w:spacing w:val="-4"/>
          <w:sz w:val="26"/>
        </w:rPr>
        <w:t xml:space="preserve"> (на </w:t>
      </w:r>
      <w:r w:rsidR="00785D53">
        <w:rPr>
          <w:spacing w:val="-4"/>
          <w:sz w:val="26"/>
        </w:rPr>
        <w:t>4,5%</w:t>
      </w:r>
      <w:r w:rsidRPr="002F3823">
        <w:rPr>
          <w:spacing w:val="-4"/>
          <w:sz w:val="26"/>
        </w:rPr>
        <w:t>)</w:t>
      </w:r>
      <w:r w:rsidR="00785D53">
        <w:rPr>
          <w:spacing w:val="-4"/>
          <w:sz w:val="26"/>
        </w:rPr>
        <w:t>.</w:t>
      </w:r>
      <w:r w:rsidRPr="002F3823">
        <w:rPr>
          <w:spacing w:val="-4"/>
          <w:sz w:val="26"/>
        </w:rPr>
        <w:t xml:space="preserve"> </w:t>
      </w:r>
      <w:proofErr w:type="gramStart"/>
      <w:r w:rsidR="00785D53">
        <w:rPr>
          <w:spacing w:val="-4"/>
          <w:sz w:val="26"/>
        </w:rPr>
        <w:t>На 1,1</w:t>
      </w:r>
      <w:r w:rsidR="00721F07">
        <w:rPr>
          <w:spacing w:val="-4"/>
          <w:sz w:val="26"/>
        </w:rPr>
        <w:t>%</w:t>
      </w:r>
      <w:r w:rsidR="00785D53">
        <w:rPr>
          <w:spacing w:val="-4"/>
          <w:sz w:val="26"/>
        </w:rPr>
        <w:t xml:space="preserve"> – 1,8% составил прирост цен на </w:t>
      </w:r>
      <w:r w:rsidR="00721F07">
        <w:rPr>
          <w:spacing w:val="-4"/>
          <w:sz w:val="26"/>
        </w:rPr>
        <w:t>инструменты и оборудование, строительные материалы, чулочно-носочные изделия, спички, медикаменты (без жизненно важных), полотенца, фотоаппар</w:t>
      </w:r>
      <w:r w:rsidR="00721F07">
        <w:rPr>
          <w:spacing w:val="-4"/>
          <w:sz w:val="26"/>
        </w:rPr>
        <w:t>а</w:t>
      </w:r>
      <w:r w:rsidR="00721F07">
        <w:rPr>
          <w:spacing w:val="-4"/>
          <w:sz w:val="26"/>
        </w:rPr>
        <w:t xml:space="preserve">ты, печатные издания, ковры и ковровые изделия, металлическую посуду и металлические предметы домашнего обихода. </w:t>
      </w:r>
      <w:proofErr w:type="gramEnd"/>
    </w:p>
    <w:p w:rsidR="00785D53" w:rsidRDefault="00721F07" w:rsidP="00933C3D">
      <w:pPr>
        <w:widowControl/>
        <w:spacing w:line="245" w:lineRule="auto"/>
        <w:ind w:firstLine="709"/>
        <w:jc w:val="both"/>
        <w:rPr>
          <w:spacing w:val="-4"/>
          <w:sz w:val="26"/>
        </w:rPr>
      </w:pPr>
      <w:r>
        <w:rPr>
          <w:spacing w:val="-4"/>
          <w:sz w:val="26"/>
        </w:rPr>
        <w:t xml:space="preserve">Снижение цен наблюдалось на </w:t>
      </w:r>
      <w:r w:rsidR="002250C7">
        <w:rPr>
          <w:spacing w:val="-4"/>
          <w:sz w:val="26"/>
        </w:rPr>
        <w:t>газовое моторное топливо (на 6,7%) и автомобил</w:t>
      </w:r>
      <w:r w:rsidR="002250C7">
        <w:rPr>
          <w:spacing w:val="-4"/>
          <w:sz w:val="26"/>
        </w:rPr>
        <w:t>ь</w:t>
      </w:r>
      <w:r w:rsidR="002250C7">
        <w:rPr>
          <w:spacing w:val="-4"/>
          <w:sz w:val="26"/>
        </w:rPr>
        <w:t>ный бензин (на 0,2%)</w:t>
      </w:r>
      <w:r w:rsidR="008F53D5">
        <w:rPr>
          <w:spacing w:val="-4"/>
          <w:sz w:val="26"/>
        </w:rPr>
        <w:t xml:space="preserve">. Из медицинских товаров подешевели </w:t>
      </w:r>
      <w:proofErr w:type="spellStart"/>
      <w:r w:rsidR="008F53D5">
        <w:rPr>
          <w:spacing w:val="-4"/>
          <w:sz w:val="26"/>
        </w:rPr>
        <w:t>безртутные</w:t>
      </w:r>
      <w:proofErr w:type="spellEnd"/>
      <w:r w:rsidR="008F53D5">
        <w:rPr>
          <w:spacing w:val="-4"/>
          <w:sz w:val="26"/>
        </w:rPr>
        <w:t xml:space="preserve"> </w:t>
      </w:r>
      <w:r w:rsidR="00C31D28">
        <w:rPr>
          <w:spacing w:val="-4"/>
          <w:sz w:val="26"/>
        </w:rPr>
        <w:t xml:space="preserve">медицинские </w:t>
      </w:r>
      <w:r w:rsidR="008F53D5">
        <w:rPr>
          <w:spacing w:val="-4"/>
          <w:sz w:val="26"/>
        </w:rPr>
        <w:t>те</w:t>
      </w:r>
      <w:r w:rsidR="008F53D5">
        <w:rPr>
          <w:spacing w:val="-4"/>
          <w:sz w:val="26"/>
        </w:rPr>
        <w:t>р</w:t>
      </w:r>
      <w:r w:rsidR="008F53D5">
        <w:rPr>
          <w:spacing w:val="-4"/>
          <w:sz w:val="26"/>
        </w:rPr>
        <w:t>мометры (на 3,3%), санитарно-гигиенические маски (на 2,5), бинты (на 1,2%).</w:t>
      </w:r>
      <w:r w:rsidR="002250C7">
        <w:rPr>
          <w:spacing w:val="-4"/>
          <w:sz w:val="26"/>
        </w:rPr>
        <w:t xml:space="preserve"> </w:t>
      </w:r>
      <w:r>
        <w:rPr>
          <w:spacing w:val="-4"/>
          <w:sz w:val="26"/>
        </w:rPr>
        <w:t xml:space="preserve"> </w:t>
      </w:r>
    </w:p>
    <w:p w:rsidR="0087297B" w:rsidRDefault="00D55C27" w:rsidP="0040059E">
      <w:pPr>
        <w:widowControl/>
        <w:spacing w:line="245" w:lineRule="auto"/>
        <w:ind w:firstLine="709"/>
        <w:jc w:val="both"/>
        <w:rPr>
          <w:bCs/>
          <w:spacing w:val="-4"/>
          <w:sz w:val="26"/>
          <w:szCs w:val="26"/>
        </w:rPr>
      </w:pPr>
      <w:r w:rsidRPr="002F3823">
        <w:rPr>
          <w:spacing w:val="-4"/>
          <w:sz w:val="26"/>
          <w:szCs w:val="26"/>
        </w:rPr>
        <w:lastRenderedPageBreak/>
        <w:t xml:space="preserve">Среди услуг </w:t>
      </w:r>
      <w:r w:rsidR="0087297B">
        <w:rPr>
          <w:spacing w:val="-4"/>
          <w:sz w:val="26"/>
          <w:szCs w:val="26"/>
        </w:rPr>
        <w:t>в большей степени</w:t>
      </w:r>
      <w:r w:rsidR="00DA564D" w:rsidRPr="002F3823">
        <w:rPr>
          <w:spacing w:val="-4"/>
          <w:sz w:val="26"/>
          <w:szCs w:val="26"/>
        </w:rPr>
        <w:t xml:space="preserve"> </w:t>
      </w:r>
      <w:r w:rsidR="0087297B">
        <w:rPr>
          <w:spacing w:val="-4"/>
          <w:sz w:val="26"/>
          <w:szCs w:val="26"/>
        </w:rPr>
        <w:t>возросла</w:t>
      </w:r>
      <w:r w:rsidR="009F7439" w:rsidRPr="002F3823">
        <w:rPr>
          <w:spacing w:val="-4"/>
        </w:rPr>
        <w:t xml:space="preserve"> </w:t>
      </w:r>
      <w:r w:rsidR="009F7439" w:rsidRPr="002F3823">
        <w:rPr>
          <w:spacing w:val="-4"/>
          <w:sz w:val="26"/>
          <w:szCs w:val="26"/>
        </w:rPr>
        <w:t>с</w:t>
      </w:r>
      <w:r w:rsidR="009F7439" w:rsidRPr="002F3823">
        <w:rPr>
          <w:bCs/>
          <w:spacing w:val="-4"/>
          <w:sz w:val="26"/>
          <w:szCs w:val="26"/>
        </w:rPr>
        <w:t>тоимость</w:t>
      </w:r>
      <w:r w:rsidR="0087297B">
        <w:rPr>
          <w:bCs/>
          <w:spacing w:val="-4"/>
          <w:sz w:val="26"/>
          <w:szCs w:val="26"/>
        </w:rPr>
        <w:t xml:space="preserve"> услуг </w:t>
      </w:r>
      <w:r w:rsidR="005A29BE">
        <w:rPr>
          <w:bCs/>
          <w:spacing w:val="-4"/>
          <w:sz w:val="26"/>
          <w:szCs w:val="26"/>
        </w:rPr>
        <w:t xml:space="preserve">в сфере </w:t>
      </w:r>
      <w:r w:rsidR="0087297B">
        <w:rPr>
          <w:bCs/>
          <w:spacing w:val="-4"/>
          <w:sz w:val="26"/>
          <w:szCs w:val="26"/>
        </w:rPr>
        <w:t>зарубежного т</w:t>
      </w:r>
      <w:r w:rsidR="0087297B">
        <w:rPr>
          <w:bCs/>
          <w:spacing w:val="-4"/>
          <w:sz w:val="26"/>
          <w:szCs w:val="26"/>
        </w:rPr>
        <w:t>у</w:t>
      </w:r>
      <w:r w:rsidR="0087297B">
        <w:rPr>
          <w:bCs/>
          <w:spacing w:val="-4"/>
          <w:sz w:val="26"/>
          <w:szCs w:val="26"/>
        </w:rPr>
        <w:t xml:space="preserve">ризма (на 12,3%), правового характера (на 9,4), гостиниц и прочих мест проживания </w:t>
      </w:r>
      <w:r w:rsidR="0058352B">
        <w:rPr>
          <w:bCs/>
          <w:spacing w:val="-4"/>
          <w:sz w:val="26"/>
          <w:szCs w:val="26"/>
        </w:rPr>
        <w:t xml:space="preserve">      </w:t>
      </w:r>
      <w:r w:rsidR="0087297B">
        <w:rPr>
          <w:bCs/>
          <w:spacing w:val="-4"/>
          <w:sz w:val="26"/>
          <w:szCs w:val="26"/>
        </w:rPr>
        <w:t>(на 4,7), банков (на 4,5%). Из услуг пассажирского транспорта подорожал</w:t>
      </w:r>
      <w:r w:rsidR="00016021">
        <w:rPr>
          <w:bCs/>
          <w:spacing w:val="-4"/>
          <w:sz w:val="26"/>
          <w:szCs w:val="26"/>
        </w:rPr>
        <w:t>и</w:t>
      </w:r>
      <w:r w:rsidR="0087297B">
        <w:rPr>
          <w:bCs/>
          <w:spacing w:val="-4"/>
          <w:sz w:val="26"/>
          <w:szCs w:val="26"/>
        </w:rPr>
        <w:t xml:space="preserve"> проезд в маршрутном такси и такси (соответственно на 7,1% и 2,6%), </w:t>
      </w:r>
      <w:r w:rsidR="00016021">
        <w:rPr>
          <w:bCs/>
          <w:spacing w:val="-4"/>
          <w:sz w:val="26"/>
          <w:szCs w:val="26"/>
        </w:rPr>
        <w:t>железнодорожным транспо</w:t>
      </w:r>
      <w:r w:rsidR="00016021">
        <w:rPr>
          <w:bCs/>
          <w:spacing w:val="-4"/>
          <w:sz w:val="26"/>
          <w:szCs w:val="26"/>
        </w:rPr>
        <w:t>р</w:t>
      </w:r>
      <w:r w:rsidR="00016021">
        <w:rPr>
          <w:bCs/>
          <w:spacing w:val="-4"/>
          <w:sz w:val="26"/>
          <w:szCs w:val="26"/>
        </w:rPr>
        <w:t xml:space="preserve">том (на 6,2), при этом снизилась стоимость </w:t>
      </w:r>
      <w:r w:rsidR="007615C7">
        <w:rPr>
          <w:bCs/>
          <w:spacing w:val="-4"/>
          <w:sz w:val="26"/>
          <w:szCs w:val="26"/>
        </w:rPr>
        <w:t>полёта</w:t>
      </w:r>
      <w:r w:rsidR="00016021">
        <w:rPr>
          <w:bCs/>
          <w:spacing w:val="-4"/>
          <w:sz w:val="26"/>
          <w:szCs w:val="26"/>
        </w:rPr>
        <w:t xml:space="preserve"> на воздушном транспорте (на 0,3%). </w:t>
      </w:r>
    </w:p>
    <w:p w:rsidR="00016021" w:rsidRDefault="006A57BC" w:rsidP="0040059E">
      <w:pPr>
        <w:widowControl/>
        <w:spacing w:line="245" w:lineRule="auto"/>
        <w:ind w:firstLine="709"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Из жилищных услуг возросла стоимость аренды двухкомнатных и однокомнатных квартир (соответственно на 6,0% и 1,2%), содержания и ремонта жилья в государственном и муниципальном жилищных фондах, а также для граждан-собственников жилья </w:t>
      </w:r>
      <w:r w:rsidR="00C71C88">
        <w:rPr>
          <w:bCs/>
          <w:spacing w:val="-4"/>
          <w:sz w:val="26"/>
          <w:szCs w:val="26"/>
        </w:rPr>
        <w:t xml:space="preserve">           </w:t>
      </w:r>
      <w:r>
        <w:rPr>
          <w:bCs/>
          <w:spacing w:val="-4"/>
          <w:sz w:val="26"/>
          <w:szCs w:val="26"/>
        </w:rPr>
        <w:t xml:space="preserve">(на 1,1%). Среди услуг связи </w:t>
      </w:r>
      <w:r w:rsidR="001C594D">
        <w:rPr>
          <w:bCs/>
          <w:spacing w:val="-4"/>
          <w:sz w:val="26"/>
          <w:szCs w:val="26"/>
        </w:rPr>
        <w:t xml:space="preserve">наблюдалось </w:t>
      </w:r>
      <w:r>
        <w:rPr>
          <w:bCs/>
          <w:spacing w:val="-4"/>
          <w:sz w:val="26"/>
          <w:szCs w:val="26"/>
        </w:rPr>
        <w:t>увелич</w:t>
      </w:r>
      <w:r w:rsidR="001C594D">
        <w:rPr>
          <w:bCs/>
          <w:spacing w:val="-4"/>
          <w:sz w:val="26"/>
          <w:szCs w:val="26"/>
        </w:rPr>
        <w:t>ение</w:t>
      </w:r>
      <w:r>
        <w:rPr>
          <w:bCs/>
          <w:spacing w:val="-4"/>
          <w:sz w:val="26"/>
          <w:szCs w:val="26"/>
        </w:rPr>
        <w:t xml:space="preserve"> абонентск</w:t>
      </w:r>
      <w:r w:rsidR="001C594D">
        <w:rPr>
          <w:bCs/>
          <w:spacing w:val="-4"/>
          <w:sz w:val="26"/>
          <w:szCs w:val="26"/>
        </w:rPr>
        <w:t>ой</w:t>
      </w:r>
      <w:r>
        <w:rPr>
          <w:bCs/>
          <w:spacing w:val="-4"/>
          <w:sz w:val="26"/>
          <w:szCs w:val="26"/>
        </w:rPr>
        <w:t xml:space="preserve"> плат</w:t>
      </w:r>
      <w:r w:rsidR="001C594D">
        <w:rPr>
          <w:bCs/>
          <w:spacing w:val="-4"/>
          <w:sz w:val="26"/>
          <w:szCs w:val="26"/>
        </w:rPr>
        <w:t>ы за телевизио</w:t>
      </w:r>
      <w:r w:rsidR="001C594D">
        <w:rPr>
          <w:bCs/>
          <w:spacing w:val="-4"/>
          <w:sz w:val="26"/>
          <w:szCs w:val="26"/>
        </w:rPr>
        <w:t>н</w:t>
      </w:r>
      <w:r w:rsidR="001C594D">
        <w:rPr>
          <w:bCs/>
          <w:spacing w:val="-4"/>
          <w:sz w:val="26"/>
          <w:szCs w:val="26"/>
        </w:rPr>
        <w:t xml:space="preserve">ную антенну (на 2,4%) и снижение абонентской платы за пакет услуг сотовой связи </w:t>
      </w:r>
      <w:r w:rsidR="00C71C88">
        <w:rPr>
          <w:bCs/>
          <w:spacing w:val="-4"/>
          <w:sz w:val="26"/>
          <w:szCs w:val="26"/>
        </w:rPr>
        <w:t xml:space="preserve">       </w:t>
      </w:r>
      <w:r w:rsidR="001C594D">
        <w:rPr>
          <w:bCs/>
          <w:spacing w:val="-4"/>
          <w:sz w:val="26"/>
          <w:szCs w:val="26"/>
        </w:rPr>
        <w:t>(на 1,3%).</w:t>
      </w:r>
    </w:p>
    <w:p w:rsidR="008D4B7A" w:rsidRDefault="00A65AD1" w:rsidP="0040059E">
      <w:pPr>
        <w:widowControl/>
        <w:spacing w:line="245" w:lineRule="auto"/>
        <w:ind w:firstLine="709"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Из бытовых услуг </w:t>
      </w:r>
      <w:r w:rsidR="005B08A8">
        <w:rPr>
          <w:bCs/>
          <w:spacing w:val="-4"/>
          <w:sz w:val="26"/>
          <w:szCs w:val="26"/>
        </w:rPr>
        <w:t>увеличилась стоимость</w:t>
      </w:r>
      <w:r>
        <w:rPr>
          <w:bCs/>
          <w:spacing w:val="-4"/>
          <w:sz w:val="26"/>
          <w:szCs w:val="26"/>
        </w:rPr>
        <w:t xml:space="preserve"> постановк</w:t>
      </w:r>
      <w:r w:rsidR="005B08A8">
        <w:rPr>
          <w:bCs/>
          <w:spacing w:val="-4"/>
          <w:sz w:val="26"/>
          <w:szCs w:val="26"/>
        </w:rPr>
        <w:t>и</w:t>
      </w:r>
      <w:r>
        <w:rPr>
          <w:bCs/>
          <w:spacing w:val="-4"/>
          <w:sz w:val="26"/>
          <w:szCs w:val="26"/>
        </w:rPr>
        <w:t xml:space="preserve"> набоек (на 4,9%), ремонт</w:t>
      </w:r>
      <w:r w:rsidR="005B08A8">
        <w:rPr>
          <w:bCs/>
          <w:spacing w:val="-4"/>
          <w:sz w:val="26"/>
          <w:szCs w:val="26"/>
        </w:rPr>
        <w:t>а</w:t>
      </w:r>
      <w:r>
        <w:rPr>
          <w:bCs/>
          <w:spacing w:val="-4"/>
          <w:sz w:val="26"/>
          <w:szCs w:val="26"/>
        </w:rPr>
        <w:t xml:space="preserve"> холодильников (на 4,0), химчистк</w:t>
      </w:r>
      <w:r w:rsidR="005B08A8">
        <w:rPr>
          <w:bCs/>
          <w:spacing w:val="-4"/>
          <w:sz w:val="26"/>
          <w:szCs w:val="26"/>
        </w:rPr>
        <w:t>и</w:t>
      </w:r>
      <w:r>
        <w:rPr>
          <w:bCs/>
          <w:spacing w:val="-4"/>
          <w:sz w:val="26"/>
          <w:szCs w:val="26"/>
        </w:rPr>
        <w:t xml:space="preserve"> мужского костюма (на 3,9), </w:t>
      </w:r>
      <w:r w:rsidR="005B08A8">
        <w:rPr>
          <w:bCs/>
          <w:spacing w:val="-4"/>
          <w:sz w:val="26"/>
          <w:szCs w:val="26"/>
        </w:rPr>
        <w:t xml:space="preserve">модельной </w:t>
      </w:r>
      <w:r>
        <w:rPr>
          <w:bCs/>
          <w:spacing w:val="-4"/>
          <w:sz w:val="26"/>
          <w:szCs w:val="26"/>
        </w:rPr>
        <w:t>стрижк</w:t>
      </w:r>
      <w:r w:rsidR="005B08A8">
        <w:rPr>
          <w:bCs/>
          <w:spacing w:val="-4"/>
          <w:sz w:val="26"/>
          <w:szCs w:val="26"/>
        </w:rPr>
        <w:t>и</w:t>
      </w:r>
      <w:r>
        <w:rPr>
          <w:bCs/>
          <w:spacing w:val="-4"/>
          <w:sz w:val="26"/>
          <w:szCs w:val="26"/>
        </w:rPr>
        <w:t xml:space="preserve"> в же</w:t>
      </w:r>
      <w:r>
        <w:rPr>
          <w:bCs/>
          <w:spacing w:val="-4"/>
          <w:sz w:val="26"/>
          <w:szCs w:val="26"/>
        </w:rPr>
        <w:t>н</w:t>
      </w:r>
      <w:r w:rsidR="00C31D28">
        <w:rPr>
          <w:bCs/>
          <w:spacing w:val="-4"/>
          <w:sz w:val="26"/>
          <w:szCs w:val="26"/>
        </w:rPr>
        <w:t>ском зале (на 1,7%).</w:t>
      </w:r>
      <w:r w:rsidR="008C5D76">
        <w:rPr>
          <w:bCs/>
          <w:spacing w:val="-4"/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>Кроме того, п</w:t>
      </w:r>
      <w:r w:rsidR="001C594D">
        <w:rPr>
          <w:bCs/>
          <w:spacing w:val="-4"/>
          <w:sz w:val="26"/>
          <w:szCs w:val="26"/>
        </w:rPr>
        <w:t xml:space="preserve">рирост цен отмечен на </w:t>
      </w:r>
      <w:r w:rsidR="00605963">
        <w:rPr>
          <w:bCs/>
          <w:spacing w:val="-4"/>
          <w:sz w:val="26"/>
          <w:szCs w:val="26"/>
        </w:rPr>
        <w:t>услуги организаций культуры</w:t>
      </w:r>
      <w:r w:rsidR="005A29BE">
        <w:rPr>
          <w:bCs/>
          <w:spacing w:val="-4"/>
          <w:sz w:val="26"/>
          <w:szCs w:val="26"/>
        </w:rPr>
        <w:t xml:space="preserve"> </w:t>
      </w:r>
      <w:r w:rsidR="008C5D76">
        <w:rPr>
          <w:bCs/>
          <w:spacing w:val="-4"/>
          <w:sz w:val="26"/>
          <w:szCs w:val="26"/>
        </w:rPr>
        <w:t xml:space="preserve"> </w:t>
      </w:r>
      <w:r w:rsidR="001C594D">
        <w:rPr>
          <w:bCs/>
          <w:spacing w:val="-4"/>
          <w:sz w:val="26"/>
          <w:szCs w:val="26"/>
        </w:rPr>
        <w:t xml:space="preserve">(на </w:t>
      </w:r>
      <w:r w:rsidR="00605963">
        <w:rPr>
          <w:bCs/>
          <w:spacing w:val="-4"/>
          <w:sz w:val="26"/>
          <w:szCs w:val="26"/>
        </w:rPr>
        <w:t>1</w:t>
      </w:r>
      <w:r w:rsidR="001C594D">
        <w:rPr>
          <w:bCs/>
          <w:spacing w:val="-4"/>
          <w:sz w:val="26"/>
          <w:szCs w:val="26"/>
        </w:rPr>
        <w:t>,</w:t>
      </w:r>
      <w:r w:rsidR="00605963">
        <w:rPr>
          <w:bCs/>
          <w:spacing w:val="-4"/>
          <w:sz w:val="26"/>
          <w:szCs w:val="26"/>
        </w:rPr>
        <w:t>7</w:t>
      </w:r>
      <w:r w:rsidR="001C594D">
        <w:rPr>
          <w:bCs/>
          <w:spacing w:val="-4"/>
          <w:sz w:val="26"/>
          <w:szCs w:val="26"/>
        </w:rPr>
        <w:t xml:space="preserve">%), ветеринарные </w:t>
      </w:r>
      <w:r w:rsidR="005A29BE">
        <w:rPr>
          <w:bCs/>
          <w:spacing w:val="-4"/>
          <w:sz w:val="26"/>
          <w:szCs w:val="26"/>
        </w:rPr>
        <w:t xml:space="preserve">услуги </w:t>
      </w:r>
      <w:r w:rsidR="001C594D">
        <w:rPr>
          <w:bCs/>
          <w:spacing w:val="-4"/>
          <w:sz w:val="26"/>
          <w:szCs w:val="26"/>
        </w:rPr>
        <w:t xml:space="preserve">(на 1,0), </w:t>
      </w:r>
      <w:r w:rsidR="00B956F6">
        <w:rPr>
          <w:bCs/>
          <w:spacing w:val="-4"/>
          <w:sz w:val="26"/>
          <w:szCs w:val="26"/>
        </w:rPr>
        <w:t>посещени</w:t>
      </w:r>
      <w:r w:rsidR="005A29BE">
        <w:rPr>
          <w:bCs/>
          <w:spacing w:val="-4"/>
          <w:sz w:val="26"/>
          <w:szCs w:val="26"/>
        </w:rPr>
        <w:t>е</w:t>
      </w:r>
      <w:r w:rsidR="00B956F6">
        <w:rPr>
          <w:bCs/>
          <w:spacing w:val="-4"/>
          <w:sz w:val="26"/>
          <w:szCs w:val="26"/>
        </w:rPr>
        <w:t xml:space="preserve"> детского </w:t>
      </w:r>
      <w:proofErr w:type="gramStart"/>
      <w:r w:rsidR="00B956F6">
        <w:rPr>
          <w:bCs/>
          <w:spacing w:val="-4"/>
          <w:sz w:val="26"/>
          <w:szCs w:val="26"/>
        </w:rPr>
        <w:t>ясли-сада</w:t>
      </w:r>
      <w:proofErr w:type="gramEnd"/>
      <w:r w:rsidR="00B956F6">
        <w:rPr>
          <w:bCs/>
          <w:spacing w:val="-4"/>
          <w:sz w:val="26"/>
          <w:szCs w:val="26"/>
        </w:rPr>
        <w:t xml:space="preserve"> (на 0,7), </w:t>
      </w:r>
      <w:r w:rsidR="00943D83">
        <w:rPr>
          <w:bCs/>
          <w:spacing w:val="-4"/>
          <w:sz w:val="26"/>
          <w:szCs w:val="26"/>
        </w:rPr>
        <w:t>посредн</w:t>
      </w:r>
      <w:r w:rsidR="00943D83">
        <w:rPr>
          <w:bCs/>
          <w:spacing w:val="-4"/>
          <w:sz w:val="26"/>
          <w:szCs w:val="26"/>
        </w:rPr>
        <w:t>и</w:t>
      </w:r>
      <w:r w:rsidR="00943D83">
        <w:rPr>
          <w:bCs/>
          <w:spacing w:val="-4"/>
          <w:sz w:val="26"/>
          <w:szCs w:val="26"/>
        </w:rPr>
        <w:t>ческие и прочие услуги (на 0,6</w:t>
      </w:r>
      <w:r w:rsidR="00B956F6">
        <w:rPr>
          <w:bCs/>
          <w:spacing w:val="-4"/>
          <w:sz w:val="26"/>
          <w:szCs w:val="26"/>
        </w:rPr>
        <w:t>%</w:t>
      </w:r>
      <w:r w:rsidR="00943D83">
        <w:rPr>
          <w:bCs/>
          <w:spacing w:val="-4"/>
          <w:sz w:val="26"/>
          <w:szCs w:val="26"/>
        </w:rPr>
        <w:t>)</w:t>
      </w:r>
      <w:r w:rsidR="00B956F6">
        <w:rPr>
          <w:bCs/>
          <w:spacing w:val="-4"/>
          <w:sz w:val="26"/>
          <w:szCs w:val="26"/>
        </w:rPr>
        <w:t>.</w:t>
      </w:r>
      <w:r w:rsidR="008D4B7A">
        <w:rPr>
          <w:bCs/>
          <w:spacing w:val="-4"/>
          <w:sz w:val="26"/>
          <w:szCs w:val="26"/>
        </w:rPr>
        <w:t xml:space="preserve"> </w:t>
      </w:r>
    </w:p>
    <w:p w:rsidR="0024113E" w:rsidRDefault="0024113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</w:rPr>
      </w:pPr>
    </w:p>
    <w:p w:rsidR="00866FEE" w:rsidRDefault="00866FE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  <w:bookmarkStart w:id="0" w:name="_GoBack"/>
      <w:bookmarkEnd w:id="0"/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  <w:lang w:val="en-US"/>
        </w:rPr>
      </w:pPr>
    </w:p>
    <w:p w:rsidR="00887B7E" w:rsidRPr="00FB1B4F" w:rsidRDefault="00887B7E" w:rsidP="00887B7E">
      <w:pPr>
        <w:spacing w:line="211" w:lineRule="auto"/>
        <w:ind w:firstLine="709"/>
        <w:jc w:val="right"/>
        <w:rPr>
          <w:bCs/>
          <w:i/>
          <w:szCs w:val="24"/>
        </w:rPr>
      </w:pPr>
      <w:r w:rsidRPr="00FB1B4F">
        <w:rPr>
          <w:bCs/>
          <w:i/>
          <w:szCs w:val="24"/>
        </w:rPr>
        <w:t>Срочная информация по актуальным вопросам</w:t>
      </w:r>
    </w:p>
    <w:tbl>
      <w:tblPr>
        <w:tblW w:w="7138" w:type="dxa"/>
        <w:jc w:val="right"/>
        <w:tblInd w:w="-1360" w:type="dxa"/>
        <w:tblLook w:val="04A0" w:firstRow="1" w:lastRow="0" w:firstColumn="1" w:lastColumn="0" w:noHBand="0" w:noVBand="1"/>
      </w:tblPr>
      <w:tblGrid>
        <w:gridCol w:w="476"/>
        <w:gridCol w:w="6612"/>
        <w:gridCol w:w="50"/>
      </w:tblGrid>
      <w:tr w:rsidR="00887B7E" w:rsidRPr="00FB1B4F" w:rsidTr="005E0C31">
        <w:trPr>
          <w:gridBefore w:val="1"/>
          <w:wBefore w:w="476" w:type="dxa"/>
          <w:trHeight w:val="315"/>
          <w:jc w:val="right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7E" w:rsidRPr="00FB1B4F" w:rsidRDefault="00887B7E" w:rsidP="005E0C31">
            <w:pPr>
              <w:ind w:left="-3070"/>
              <w:jc w:val="right"/>
              <w:rPr>
                <w:i/>
                <w:iCs/>
                <w:szCs w:val="24"/>
              </w:rPr>
            </w:pPr>
            <w:proofErr w:type="spellStart"/>
            <w:r w:rsidRPr="00FB1B4F">
              <w:rPr>
                <w:i/>
                <w:iCs/>
                <w:szCs w:val="24"/>
              </w:rPr>
              <w:t>Copyright</w:t>
            </w:r>
            <w:proofErr w:type="spellEnd"/>
            <w:r w:rsidRPr="00FB1B4F">
              <w:rPr>
                <w:i/>
                <w:iCs/>
                <w:szCs w:val="24"/>
              </w:rPr>
              <w:t xml:space="preserve"> © Территориальный орган Федеральной службы</w:t>
            </w:r>
          </w:p>
        </w:tc>
      </w:tr>
      <w:tr w:rsidR="00887B7E" w:rsidRPr="00FB1B4F" w:rsidTr="005E0C31">
        <w:trPr>
          <w:gridAfter w:val="1"/>
          <w:wAfter w:w="50" w:type="dxa"/>
          <w:trHeight w:val="315"/>
          <w:jc w:val="right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7E" w:rsidRPr="00FB1B4F" w:rsidRDefault="00887B7E" w:rsidP="005E0C31">
            <w:pPr>
              <w:jc w:val="right"/>
              <w:rPr>
                <w:i/>
                <w:iCs/>
                <w:szCs w:val="24"/>
              </w:rPr>
            </w:pPr>
            <w:r w:rsidRPr="00FB1B4F">
              <w:rPr>
                <w:i/>
                <w:iCs/>
                <w:szCs w:val="24"/>
              </w:rPr>
              <w:t>государственной статистики по Мурманской области</w:t>
            </w:r>
          </w:p>
        </w:tc>
      </w:tr>
    </w:tbl>
    <w:p w:rsidR="00887B7E" w:rsidRPr="00887B7E" w:rsidRDefault="00887B7E" w:rsidP="0040059E">
      <w:pPr>
        <w:widowControl/>
        <w:spacing w:line="245" w:lineRule="auto"/>
        <w:ind w:firstLine="709"/>
        <w:jc w:val="both"/>
        <w:rPr>
          <w:bCs/>
          <w:sz w:val="26"/>
          <w:szCs w:val="26"/>
        </w:rPr>
      </w:pPr>
    </w:p>
    <w:sectPr w:rsidR="00887B7E" w:rsidRPr="00887B7E" w:rsidSect="00933C3D">
      <w:headerReference w:type="default" r:id="rId8"/>
      <w:footerReference w:type="default" r:id="rId9"/>
      <w:pgSz w:w="11907" w:h="16840"/>
      <w:pgMar w:top="1134" w:right="851" w:bottom="85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81" w:rsidRDefault="00F22581">
      <w:r>
        <w:separator/>
      </w:r>
    </w:p>
  </w:endnote>
  <w:endnote w:type="continuationSeparator" w:id="0">
    <w:p w:rsidR="00F22581" w:rsidRDefault="00F2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79" w:rsidRDefault="006C6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81" w:rsidRDefault="00F22581">
      <w:r>
        <w:separator/>
      </w:r>
    </w:p>
  </w:footnote>
  <w:footnote w:type="continuationSeparator" w:id="0">
    <w:p w:rsidR="00F22581" w:rsidRDefault="00F2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79" w:rsidRDefault="00267CA5">
    <w:pPr>
      <w:framePr w:wrap="around" w:vAnchor="text" w:hAnchor="margin" w:xAlign="center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887B7E">
      <w:rPr>
        <w:rStyle w:val="af0"/>
        <w:noProof/>
      </w:rPr>
      <w:t>2</w:t>
    </w:r>
    <w:r>
      <w:rPr>
        <w:rStyle w:val="af0"/>
      </w:rPr>
      <w:fldChar w:fldCharType="end"/>
    </w:r>
  </w:p>
  <w:p w:rsidR="006C6B79" w:rsidRDefault="006C6B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9"/>
    <w:rsid w:val="000076A4"/>
    <w:rsid w:val="00016021"/>
    <w:rsid w:val="000328A4"/>
    <w:rsid w:val="000339A2"/>
    <w:rsid w:val="000344DD"/>
    <w:rsid w:val="00041BB3"/>
    <w:rsid w:val="00050209"/>
    <w:rsid w:val="000739E2"/>
    <w:rsid w:val="000E0669"/>
    <w:rsid w:val="000E0C75"/>
    <w:rsid w:val="000E22DE"/>
    <w:rsid w:val="000F4235"/>
    <w:rsid w:val="0014099B"/>
    <w:rsid w:val="00154F44"/>
    <w:rsid w:val="00180975"/>
    <w:rsid w:val="001825DE"/>
    <w:rsid w:val="00183F54"/>
    <w:rsid w:val="00186EE2"/>
    <w:rsid w:val="001B4130"/>
    <w:rsid w:val="001C1C1B"/>
    <w:rsid w:val="001C594D"/>
    <w:rsid w:val="001D0FA1"/>
    <w:rsid w:val="00212E49"/>
    <w:rsid w:val="00224B1B"/>
    <w:rsid w:val="002250C7"/>
    <w:rsid w:val="00225724"/>
    <w:rsid w:val="0024113E"/>
    <w:rsid w:val="00267CA5"/>
    <w:rsid w:val="0028318D"/>
    <w:rsid w:val="00287CA5"/>
    <w:rsid w:val="002914D8"/>
    <w:rsid w:val="002A4580"/>
    <w:rsid w:val="002C174A"/>
    <w:rsid w:val="002C32B9"/>
    <w:rsid w:val="002C6473"/>
    <w:rsid w:val="002D09AE"/>
    <w:rsid w:val="002E58E4"/>
    <w:rsid w:val="002F289D"/>
    <w:rsid w:val="002F301F"/>
    <w:rsid w:val="002F3823"/>
    <w:rsid w:val="00311298"/>
    <w:rsid w:val="0031616E"/>
    <w:rsid w:val="00341DBA"/>
    <w:rsid w:val="00383269"/>
    <w:rsid w:val="00386565"/>
    <w:rsid w:val="0039303D"/>
    <w:rsid w:val="0039603B"/>
    <w:rsid w:val="003A1EEC"/>
    <w:rsid w:val="003A3DAB"/>
    <w:rsid w:val="003D6977"/>
    <w:rsid w:val="003F0EE5"/>
    <w:rsid w:val="0040059E"/>
    <w:rsid w:val="00405CB3"/>
    <w:rsid w:val="00407492"/>
    <w:rsid w:val="004167F2"/>
    <w:rsid w:val="00423F72"/>
    <w:rsid w:val="00440917"/>
    <w:rsid w:val="00450987"/>
    <w:rsid w:val="0045795B"/>
    <w:rsid w:val="0048575A"/>
    <w:rsid w:val="00492942"/>
    <w:rsid w:val="004A6F1D"/>
    <w:rsid w:val="004B2102"/>
    <w:rsid w:val="004B28A7"/>
    <w:rsid w:val="004D3093"/>
    <w:rsid w:val="004E193E"/>
    <w:rsid w:val="004F1762"/>
    <w:rsid w:val="00516DEA"/>
    <w:rsid w:val="00553AE0"/>
    <w:rsid w:val="00577ADB"/>
    <w:rsid w:val="0058352B"/>
    <w:rsid w:val="00595481"/>
    <w:rsid w:val="00597AE5"/>
    <w:rsid w:val="005A29BE"/>
    <w:rsid w:val="005B08A8"/>
    <w:rsid w:val="005C60B3"/>
    <w:rsid w:val="005D2192"/>
    <w:rsid w:val="005E6C12"/>
    <w:rsid w:val="005F5C8F"/>
    <w:rsid w:val="00605963"/>
    <w:rsid w:val="00620B7A"/>
    <w:rsid w:val="00635DAA"/>
    <w:rsid w:val="00637C04"/>
    <w:rsid w:val="006535F4"/>
    <w:rsid w:val="00671CE2"/>
    <w:rsid w:val="006764FE"/>
    <w:rsid w:val="00690415"/>
    <w:rsid w:val="006A57BC"/>
    <w:rsid w:val="006C6B79"/>
    <w:rsid w:val="006D7B5A"/>
    <w:rsid w:val="006E52DF"/>
    <w:rsid w:val="006E5C56"/>
    <w:rsid w:val="006F2CEC"/>
    <w:rsid w:val="00700F2C"/>
    <w:rsid w:val="007056F2"/>
    <w:rsid w:val="00712550"/>
    <w:rsid w:val="00713A58"/>
    <w:rsid w:val="00721F07"/>
    <w:rsid w:val="007277D5"/>
    <w:rsid w:val="0075522A"/>
    <w:rsid w:val="007615C7"/>
    <w:rsid w:val="00785D53"/>
    <w:rsid w:val="00796763"/>
    <w:rsid w:val="007A6694"/>
    <w:rsid w:val="007D7CE2"/>
    <w:rsid w:val="007F0635"/>
    <w:rsid w:val="007F5898"/>
    <w:rsid w:val="00803EDD"/>
    <w:rsid w:val="00805EAB"/>
    <w:rsid w:val="008429E2"/>
    <w:rsid w:val="00850B16"/>
    <w:rsid w:val="008553DA"/>
    <w:rsid w:val="00866FEE"/>
    <w:rsid w:val="00867DC2"/>
    <w:rsid w:val="0087297B"/>
    <w:rsid w:val="00873878"/>
    <w:rsid w:val="008824A7"/>
    <w:rsid w:val="00887197"/>
    <w:rsid w:val="00887B7E"/>
    <w:rsid w:val="00893F3B"/>
    <w:rsid w:val="00895787"/>
    <w:rsid w:val="00895B2E"/>
    <w:rsid w:val="00897C2B"/>
    <w:rsid w:val="008B320F"/>
    <w:rsid w:val="008C5435"/>
    <w:rsid w:val="008C565C"/>
    <w:rsid w:val="008C5D76"/>
    <w:rsid w:val="008D4B7A"/>
    <w:rsid w:val="008D5A76"/>
    <w:rsid w:val="008E775B"/>
    <w:rsid w:val="008F3351"/>
    <w:rsid w:val="008F53D5"/>
    <w:rsid w:val="00905AAE"/>
    <w:rsid w:val="00905F42"/>
    <w:rsid w:val="0090690A"/>
    <w:rsid w:val="00917911"/>
    <w:rsid w:val="00924389"/>
    <w:rsid w:val="009244DC"/>
    <w:rsid w:val="00933C3D"/>
    <w:rsid w:val="00943D83"/>
    <w:rsid w:val="00944511"/>
    <w:rsid w:val="00951BDE"/>
    <w:rsid w:val="00952625"/>
    <w:rsid w:val="009975EF"/>
    <w:rsid w:val="009C2994"/>
    <w:rsid w:val="009C757C"/>
    <w:rsid w:val="009E1AE1"/>
    <w:rsid w:val="009F7439"/>
    <w:rsid w:val="00A0741A"/>
    <w:rsid w:val="00A16EF4"/>
    <w:rsid w:val="00A17513"/>
    <w:rsid w:val="00A61112"/>
    <w:rsid w:val="00A65AD1"/>
    <w:rsid w:val="00A7696F"/>
    <w:rsid w:val="00A8046D"/>
    <w:rsid w:val="00A83AF5"/>
    <w:rsid w:val="00A90721"/>
    <w:rsid w:val="00AB0C09"/>
    <w:rsid w:val="00AC49C1"/>
    <w:rsid w:val="00AD32D2"/>
    <w:rsid w:val="00AE3057"/>
    <w:rsid w:val="00AF1A66"/>
    <w:rsid w:val="00AF6D3D"/>
    <w:rsid w:val="00B11AFE"/>
    <w:rsid w:val="00B23573"/>
    <w:rsid w:val="00B33707"/>
    <w:rsid w:val="00B5120E"/>
    <w:rsid w:val="00B5433F"/>
    <w:rsid w:val="00B728F4"/>
    <w:rsid w:val="00B92841"/>
    <w:rsid w:val="00B956F6"/>
    <w:rsid w:val="00B97E26"/>
    <w:rsid w:val="00BA7035"/>
    <w:rsid w:val="00BB017E"/>
    <w:rsid w:val="00BB3C16"/>
    <w:rsid w:val="00BE1194"/>
    <w:rsid w:val="00BE150B"/>
    <w:rsid w:val="00BE151F"/>
    <w:rsid w:val="00BF4DB6"/>
    <w:rsid w:val="00C2545A"/>
    <w:rsid w:val="00C31D28"/>
    <w:rsid w:val="00C36185"/>
    <w:rsid w:val="00C64D33"/>
    <w:rsid w:val="00C71C88"/>
    <w:rsid w:val="00C80891"/>
    <w:rsid w:val="00CA3B8B"/>
    <w:rsid w:val="00CD0ADD"/>
    <w:rsid w:val="00CF0298"/>
    <w:rsid w:val="00D20ED7"/>
    <w:rsid w:val="00D55C27"/>
    <w:rsid w:val="00D632C6"/>
    <w:rsid w:val="00D70D7C"/>
    <w:rsid w:val="00DA504B"/>
    <w:rsid w:val="00DA564D"/>
    <w:rsid w:val="00DB4D87"/>
    <w:rsid w:val="00DC5FE7"/>
    <w:rsid w:val="00DD0817"/>
    <w:rsid w:val="00DE2DA0"/>
    <w:rsid w:val="00DF0578"/>
    <w:rsid w:val="00DF7911"/>
    <w:rsid w:val="00E04E70"/>
    <w:rsid w:val="00E24DD0"/>
    <w:rsid w:val="00E42D86"/>
    <w:rsid w:val="00E562F1"/>
    <w:rsid w:val="00E85C78"/>
    <w:rsid w:val="00E8797B"/>
    <w:rsid w:val="00E90FF7"/>
    <w:rsid w:val="00EA445A"/>
    <w:rsid w:val="00EB367F"/>
    <w:rsid w:val="00ED0C9E"/>
    <w:rsid w:val="00EE7288"/>
    <w:rsid w:val="00EF0F2C"/>
    <w:rsid w:val="00EF502F"/>
    <w:rsid w:val="00F003FB"/>
    <w:rsid w:val="00F17C8B"/>
    <w:rsid w:val="00F22581"/>
    <w:rsid w:val="00F2551E"/>
    <w:rsid w:val="00F25935"/>
    <w:rsid w:val="00F4031D"/>
    <w:rsid w:val="00F4316E"/>
    <w:rsid w:val="00F4688B"/>
    <w:rsid w:val="00F47AED"/>
    <w:rsid w:val="00F50526"/>
    <w:rsid w:val="00F52333"/>
    <w:rsid w:val="00F573B5"/>
    <w:rsid w:val="00F71DEE"/>
    <w:rsid w:val="00F81C8B"/>
    <w:rsid w:val="00F91BE3"/>
    <w:rsid w:val="00FA5973"/>
    <w:rsid w:val="00FB2BA4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ind w:firstLine="720"/>
      <w:jc w:val="right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ody Text Indent"/>
    <w:basedOn w:val="a"/>
    <w:link w:val="a6"/>
    <w:pPr>
      <w:widowControl/>
      <w:ind w:firstLine="720"/>
      <w:jc w:val="both"/>
    </w:pPr>
  </w:style>
  <w:style w:type="character" w:customStyle="1" w:styleId="a6">
    <w:name w:val="Основной текст с отступом Знак"/>
    <w:basedOn w:val="11"/>
    <w:link w:val="a5"/>
    <w:rPr>
      <w:sz w:val="24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rPr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11"/>
    <w:link w:val="ab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1"/>
    <w:rPr>
      <w:b/>
      <w:sz w:val="28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ody Text"/>
    <w:basedOn w:val="a"/>
    <w:link w:val="af"/>
    <w:pPr>
      <w:widowControl/>
      <w:jc w:val="both"/>
    </w:pPr>
  </w:style>
  <w:style w:type="character" w:customStyle="1" w:styleId="af">
    <w:name w:val="Основной текст Знак"/>
    <w:basedOn w:val="11"/>
    <w:link w:val="ae"/>
    <w:rPr>
      <w:sz w:val="24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1"/>
    <w:link w:val="2"/>
    <w:rPr>
      <w:i/>
      <w:sz w:val="24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8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ind w:firstLine="720"/>
      <w:jc w:val="right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ody Text Indent"/>
    <w:basedOn w:val="a"/>
    <w:link w:val="a6"/>
    <w:pPr>
      <w:widowControl/>
      <w:ind w:firstLine="720"/>
      <w:jc w:val="both"/>
    </w:pPr>
  </w:style>
  <w:style w:type="character" w:customStyle="1" w:styleId="a6">
    <w:name w:val="Основной текст с отступом Знак"/>
    <w:basedOn w:val="11"/>
    <w:link w:val="a5"/>
    <w:rPr>
      <w:sz w:val="24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rPr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11"/>
    <w:link w:val="ab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1"/>
    <w:rPr>
      <w:b/>
      <w:sz w:val="28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ody Text"/>
    <w:basedOn w:val="a"/>
    <w:link w:val="af"/>
    <w:pPr>
      <w:widowControl/>
      <w:jc w:val="both"/>
    </w:pPr>
  </w:style>
  <w:style w:type="character" w:customStyle="1" w:styleId="af">
    <w:name w:val="Основной текст Знак"/>
    <w:basedOn w:val="11"/>
    <w:link w:val="ae"/>
    <w:rPr>
      <w:sz w:val="24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1"/>
    <w:link w:val="2"/>
    <w:rPr>
      <w:i/>
      <w:sz w:val="24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8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3BC4-5F78-486F-88AE-E7E8694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Кривошея Ирина Михайловна</dc:creator>
  <cp:lastModifiedBy>krivosheya_im</cp:lastModifiedBy>
  <cp:revision>2</cp:revision>
  <cp:lastPrinted>2022-03-14T06:23:00Z</cp:lastPrinted>
  <dcterms:created xsi:type="dcterms:W3CDTF">2022-03-16T08:14:00Z</dcterms:created>
  <dcterms:modified xsi:type="dcterms:W3CDTF">2022-03-16T08:14:00Z</dcterms:modified>
</cp:coreProperties>
</file>