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46" w:rsidRPr="00A92AB8" w:rsidRDefault="003C1F46" w:rsidP="00A92AB8">
      <w:pPr>
        <w:widowControl/>
        <w:jc w:val="center"/>
        <w:rPr>
          <w:b/>
          <w:sz w:val="26"/>
        </w:rPr>
      </w:pPr>
      <w:r w:rsidRPr="00A92AB8">
        <w:rPr>
          <w:b/>
          <w:sz w:val="26"/>
        </w:rPr>
        <w:t>Об изменении потребительских цен</w:t>
      </w:r>
    </w:p>
    <w:p w:rsidR="003C1F46" w:rsidRPr="00A92AB8" w:rsidRDefault="003C1F46" w:rsidP="00A92AB8">
      <w:pPr>
        <w:widowControl/>
        <w:jc w:val="center"/>
        <w:rPr>
          <w:b/>
          <w:sz w:val="26"/>
        </w:rPr>
      </w:pPr>
      <w:r w:rsidRPr="00A92AB8">
        <w:rPr>
          <w:b/>
          <w:sz w:val="26"/>
        </w:rPr>
        <w:t>на товары и услуги в Мурманской области</w:t>
      </w:r>
    </w:p>
    <w:p w:rsidR="006E5C56" w:rsidRPr="00A92AB8" w:rsidRDefault="006E5C56" w:rsidP="00A92AB8">
      <w:pPr>
        <w:widowControl/>
        <w:jc w:val="center"/>
        <w:rPr>
          <w:b/>
          <w:sz w:val="26"/>
          <w:szCs w:val="26"/>
        </w:rPr>
      </w:pPr>
      <w:r w:rsidRPr="00A92AB8">
        <w:rPr>
          <w:b/>
          <w:sz w:val="26"/>
          <w:szCs w:val="26"/>
        </w:rPr>
        <w:t xml:space="preserve">в </w:t>
      </w:r>
      <w:r w:rsidR="00D9645E" w:rsidRPr="00A92AB8">
        <w:rPr>
          <w:b/>
          <w:sz w:val="26"/>
          <w:szCs w:val="26"/>
        </w:rPr>
        <w:t>март</w:t>
      </w:r>
      <w:r w:rsidRPr="00A92AB8">
        <w:rPr>
          <w:b/>
          <w:sz w:val="26"/>
          <w:szCs w:val="26"/>
        </w:rPr>
        <w:t>е 2022 года</w:t>
      </w:r>
    </w:p>
    <w:p w:rsidR="006C6B79" w:rsidRPr="00AC566A" w:rsidRDefault="006C6B79" w:rsidP="00741079">
      <w:pPr>
        <w:widowControl/>
        <w:jc w:val="both"/>
        <w:rPr>
          <w:szCs w:val="26"/>
        </w:rPr>
      </w:pPr>
    </w:p>
    <w:p w:rsidR="006C6B79" w:rsidRPr="00AC566A" w:rsidRDefault="006C6B79" w:rsidP="00741079">
      <w:pPr>
        <w:widowControl/>
        <w:jc w:val="both"/>
        <w:rPr>
          <w:szCs w:val="26"/>
        </w:rPr>
      </w:pPr>
    </w:p>
    <w:p w:rsidR="006C6B79" w:rsidRDefault="00267CA5" w:rsidP="00741079">
      <w:pPr>
        <w:widowControl/>
        <w:ind w:firstLine="720"/>
        <w:jc w:val="both"/>
        <w:rPr>
          <w:sz w:val="26"/>
        </w:rPr>
      </w:pPr>
      <w:r>
        <w:rPr>
          <w:sz w:val="26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6C6B79" w:rsidRDefault="00267CA5" w:rsidP="00741079">
      <w:pPr>
        <w:widowControl/>
        <w:spacing w:before="80"/>
        <w:jc w:val="right"/>
        <w:rPr>
          <w:sz w:val="20"/>
        </w:rPr>
      </w:pPr>
      <w:r>
        <w:rPr>
          <w:sz w:val="20"/>
        </w:rPr>
        <w:t xml:space="preserve"> (в процентах)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560"/>
        <w:gridCol w:w="1559"/>
        <w:gridCol w:w="1558"/>
      </w:tblGrid>
      <w:tr w:rsidR="001D0FA1" w:rsidTr="004F3B5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Все товары </w:t>
            </w:r>
          </w:p>
          <w:p w:rsidR="001D0FA1" w:rsidRDefault="001D0FA1" w:rsidP="00741079">
            <w:pPr>
              <w:widowControl/>
              <w:jc w:val="center"/>
              <w:rPr>
                <w:spacing w:val="-2"/>
              </w:rPr>
            </w:pPr>
            <w:r>
              <w:rPr>
                <w:spacing w:val="-2"/>
              </w:rPr>
              <w:t>и услуги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</w:t>
            </w:r>
          </w:p>
        </w:tc>
      </w:tr>
      <w:tr w:rsidR="001D0FA1" w:rsidTr="00AC566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jc w:val="center"/>
              <w:rPr>
                <w:spacing w:val="-2"/>
              </w:rPr>
            </w:pPr>
            <w:r>
              <w:rPr>
                <w:spacing w:val="-2"/>
              </w:rPr>
              <w:t>товары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tabs>
                <w:tab w:val="left" w:pos="939"/>
              </w:tabs>
              <w:jc w:val="center"/>
              <w:rPr>
                <w:spacing w:val="-2"/>
              </w:rPr>
            </w:pPr>
            <w:r>
              <w:rPr>
                <w:spacing w:val="-2"/>
              </w:rPr>
              <w:t>услуги</w:t>
            </w:r>
          </w:p>
        </w:tc>
      </w:tr>
      <w:tr w:rsidR="001D0FA1" w:rsidTr="00AC566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ind w:left="-108" w:right="-108"/>
              <w:jc w:val="center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продовол</w:t>
            </w:r>
            <w:r>
              <w:rPr>
                <w:spacing w:val="-2"/>
              </w:rPr>
              <w:t>ь</w:t>
            </w:r>
            <w:r>
              <w:rPr>
                <w:spacing w:val="-2"/>
              </w:rPr>
              <w:t>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ind w:left="-108" w:right="-108"/>
              <w:jc w:val="center"/>
              <w:rPr>
                <w:spacing w:val="-2"/>
              </w:rPr>
            </w:pPr>
            <w:r>
              <w:rPr>
                <w:spacing w:val="-2"/>
              </w:rPr>
              <w:t>непродовол</w:t>
            </w:r>
            <w:r>
              <w:rPr>
                <w:spacing w:val="-2"/>
              </w:rPr>
              <w:t>ь</w:t>
            </w:r>
            <w:r>
              <w:rPr>
                <w:spacing w:val="-2"/>
              </w:rPr>
              <w:t>ственные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/>
        </w:tc>
      </w:tr>
      <w:tr w:rsidR="001D0FA1" w:rsidTr="00AC566A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FA1" w:rsidRDefault="00D9645E" w:rsidP="00741079">
            <w:pPr>
              <w:widowControl/>
              <w:spacing w:before="120"/>
              <w:jc w:val="both"/>
              <w:rPr>
                <w:spacing w:val="-2"/>
              </w:rPr>
            </w:pPr>
            <w:r>
              <w:rPr>
                <w:spacing w:val="-2"/>
              </w:rPr>
              <w:t>Март</w:t>
            </w:r>
            <w:r w:rsidR="001D0FA1">
              <w:rPr>
                <w:spacing w:val="-2"/>
              </w:rPr>
              <w:t xml:space="preserve"> 2022</w:t>
            </w:r>
            <w:r w:rsidR="001D0FA1">
              <w:rPr>
                <w:spacing w:val="-2"/>
                <w:lang w:val="en-US"/>
              </w:rPr>
              <w:t xml:space="preserve"> </w:t>
            </w:r>
            <w:proofErr w:type="gramStart"/>
            <w:r w:rsidR="001D0FA1">
              <w:rPr>
                <w:spacing w:val="-2"/>
              </w:rPr>
              <w:t>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spacing w:before="120"/>
              <w:ind w:left="-108" w:right="318"/>
              <w:jc w:val="center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spacing w:before="120"/>
              <w:ind w:left="-108" w:right="601"/>
              <w:jc w:val="center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spacing w:before="120"/>
              <w:ind w:left="-108" w:right="601"/>
              <w:jc w:val="center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spacing w:before="120"/>
              <w:ind w:left="-108" w:right="742"/>
              <w:jc w:val="center"/>
              <w:rPr>
                <w:spacing w:val="-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1D0FA1" w:rsidRDefault="001D0FA1" w:rsidP="00741079">
            <w:pPr>
              <w:widowControl/>
              <w:tabs>
                <w:tab w:val="left" w:pos="939"/>
              </w:tabs>
              <w:spacing w:before="120"/>
              <w:ind w:right="317"/>
              <w:jc w:val="center"/>
              <w:rPr>
                <w:spacing w:val="-2"/>
              </w:rPr>
            </w:pPr>
          </w:p>
        </w:tc>
      </w:tr>
      <w:tr w:rsidR="006E5C56" w:rsidTr="00AC566A">
        <w:tc>
          <w:tcPr>
            <w:tcW w:w="2127" w:type="dxa"/>
            <w:tcBorders>
              <w:left w:val="single" w:sz="4" w:space="0" w:color="000000"/>
            </w:tcBorders>
            <w:vAlign w:val="bottom"/>
          </w:tcPr>
          <w:p w:rsidR="006E5C56" w:rsidRDefault="00D9645E" w:rsidP="00741079">
            <w:pPr>
              <w:widowControl/>
              <w:ind w:left="57"/>
              <w:rPr>
                <w:spacing w:val="-2"/>
              </w:rPr>
            </w:pPr>
            <w:r>
              <w:rPr>
                <w:spacing w:val="-2"/>
              </w:rPr>
              <w:t>февралю</w:t>
            </w:r>
            <w:r w:rsidR="006E5C56">
              <w:rPr>
                <w:spacing w:val="-2"/>
              </w:rPr>
              <w:t xml:space="preserve"> 2022</w:t>
            </w:r>
          </w:p>
        </w:tc>
        <w:tc>
          <w:tcPr>
            <w:tcW w:w="1417" w:type="dxa"/>
            <w:vAlign w:val="bottom"/>
          </w:tcPr>
          <w:p w:rsidR="006E5C56" w:rsidRDefault="00D9645E" w:rsidP="00741079">
            <w:pPr>
              <w:widowControl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108,06</w:t>
            </w:r>
          </w:p>
        </w:tc>
        <w:tc>
          <w:tcPr>
            <w:tcW w:w="1559" w:type="dxa"/>
          </w:tcPr>
          <w:p w:rsidR="006E5C56" w:rsidRPr="00B33707" w:rsidRDefault="00D9645E" w:rsidP="00741079">
            <w:pPr>
              <w:widowControl/>
              <w:ind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108,69</w:t>
            </w:r>
          </w:p>
        </w:tc>
        <w:tc>
          <w:tcPr>
            <w:tcW w:w="1560" w:type="dxa"/>
          </w:tcPr>
          <w:p w:rsidR="006E5C56" w:rsidRDefault="00D9645E" w:rsidP="00741079">
            <w:pPr>
              <w:widowControl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105,15</w:t>
            </w:r>
          </w:p>
        </w:tc>
        <w:tc>
          <w:tcPr>
            <w:tcW w:w="1559" w:type="dxa"/>
            <w:vAlign w:val="bottom"/>
          </w:tcPr>
          <w:p w:rsidR="006E5C56" w:rsidRDefault="00D9645E" w:rsidP="00741079">
            <w:pPr>
              <w:widowControl/>
              <w:ind w:left="-108" w:right="317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111,46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vAlign w:val="bottom"/>
          </w:tcPr>
          <w:p w:rsidR="006E5C56" w:rsidRDefault="00D9645E" w:rsidP="00741079">
            <w:pPr>
              <w:widowControl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106,44</w:t>
            </w:r>
          </w:p>
        </w:tc>
      </w:tr>
      <w:tr w:rsidR="001D0FA1" w:rsidTr="00AC566A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D0FA1" w:rsidRDefault="001D0FA1" w:rsidP="00741079">
            <w:pPr>
              <w:widowControl/>
              <w:spacing w:after="120"/>
              <w:ind w:left="57"/>
              <w:rPr>
                <w:spacing w:val="-2"/>
              </w:rPr>
            </w:pPr>
            <w:r>
              <w:rPr>
                <w:spacing w:val="-2"/>
              </w:rPr>
              <w:t>декабрю 2021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1D0FA1" w:rsidRDefault="00D9645E" w:rsidP="00741079">
            <w:pPr>
              <w:widowControl/>
              <w:spacing w:after="120"/>
              <w:ind w:left="-108"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110,64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D0FA1" w:rsidRPr="006F52AC" w:rsidRDefault="00D9645E" w:rsidP="00741079">
            <w:pPr>
              <w:widowControl/>
              <w:spacing w:after="120"/>
              <w:ind w:right="318"/>
              <w:jc w:val="right"/>
              <w:rPr>
                <w:spacing w:val="-2"/>
              </w:rPr>
            </w:pPr>
            <w:r>
              <w:rPr>
                <w:spacing w:val="-2"/>
              </w:rPr>
              <w:t>111,90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D0FA1" w:rsidRDefault="00D9645E" w:rsidP="00741079">
            <w:pPr>
              <w:widowControl/>
              <w:spacing w:after="120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108,89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bottom"/>
          </w:tcPr>
          <w:p w:rsidR="001D0FA1" w:rsidRDefault="00D9645E" w:rsidP="00741079">
            <w:pPr>
              <w:widowControl/>
              <w:spacing w:after="120"/>
              <w:ind w:left="-108" w:right="317" w:firstLine="108"/>
              <w:jc w:val="right"/>
              <w:rPr>
                <w:spacing w:val="-2"/>
              </w:rPr>
            </w:pPr>
            <w:r>
              <w:rPr>
                <w:spacing w:val="-2"/>
              </w:rPr>
              <w:t>114,24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D0FA1" w:rsidRDefault="00D9645E" w:rsidP="00741079">
            <w:pPr>
              <w:widowControl/>
              <w:spacing w:after="120"/>
              <w:ind w:left="-108" w:right="317"/>
              <w:jc w:val="right"/>
              <w:rPr>
                <w:spacing w:val="-2"/>
              </w:rPr>
            </w:pPr>
            <w:r>
              <w:rPr>
                <w:spacing w:val="-2"/>
              </w:rPr>
              <w:t>107,50</w:t>
            </w:r>
          </w:p>
        </w:tc>
      </w:tr>
    </w:tbl>
    <w:p w:rsidR="00AB0C09" w:rsidRPr="00AC566A" w:rsidRDefault="00AB0C09" w:rsidP="00741079">
      <w:pPr>
        <w:widowControl/>
        <w:ind w:firstLine="709"/>
        <w:jc w:val="both"/>
        <w:rPr>
          <w:sz w:val="26"/>
          <w:szCs w:val="26"/>
          <w:lang w:val="en-US"/>
        </w:rPr>
      </w:pPr>
    </w:p>
    <w:p w:rsidR="001B5953" w:rsidRPr="00741079" w:rsidRDefault="00EF0F2C" w:rsidP="00741079">
      <w:pPr>
        <w:widowControl/>
        <w:ind w:firstLine="709"/>
        <w:jc w:val="both"/>
        <w:rPr>
          <w:spacing w:val="-2"/>
          <w:sz w:val="26"/>
          <w:szCs w:val="26"/>
        </w:rPr>
      </w:pPr>
      <w:proofErr w:type="gramStart"/>
      <w:r w:rsidRPr="00741079">
        <w:rPr>
          <w:spacing w:val="-2"/>
          <w:sz w:val="26"/>
        </w:rPr>
        <w:t xml:space="preserve">В </w:t>
      </w:r>
      <w:r w:rsidR="001B5953" w:rsidRPr="00741079">
        <w:rPr>
          <w:spacing w:val="-2"/>
          <w:sz w:val="26"/>
        </w:rPr>
        <w:t xml:space="preserve">марте </w:t>
      </w:r>
      <w:r w:rsidRPr="00741079">
        <w:rPr>
          <w:spacing w:val="-2"/>
          <w:sz w:val="26"/>
        </w:rPr>
        <w:t xml:space="preserve">2022 года по сравнению с предыдущим месяцем </w:t>
      </w:r>
      <w:r w:rsidRPr="00741079">
        <w:rPr>
          <w:spacing w:val="-2"/>
          <w:sz w:val="26"/>
          <w:szCs w:val="26"/>
        </w:rPr>
        <w:t>по группам продовол</w:t>
      </w:r>
      <w:r w:rsidRPr="00741079">
        <w:rPr>
          <w:spacing w:val="-2"/>
          <w:sz w:val="26"/>
          <w:szCs w:val="26"/>
        </w:rPr>
        <w:t>ь</w:t>
      </w:r>
      <w:r w:rsidRPr="00741079">
        <w:rPr>
          <w:spacing w:val="-2"/>
          <w:sz w:val="26"/>
          <w:szCs w:val="26"/>
        </w:rPr>
        <w:t>ственных товаров</w:t>
      </w:r>
      <w:r w:rsidR="005C60B3" w:rsidRPr="00741079">
        <w:rPr>
          <w:spacing w:val="-2"/>
          <w:sz w:val="26"/>
          <w:szCs w:val="26"/>
        </w:rPr>
        <w:t xml:space="preserve"> </w:t>
      </w:r>
      <w:r w:rsidR="001B5953" w:rsidRPr="00741079">
        <w:rPr>
          <w:spacing w:val="-2"/>
          <w:sz w:val="26"/>
          <w:szCs w:val="26"/>
        </w:rPr>
        <w:t xml:space="preserve">наибольшее увеличение цен отмечено на </w:t>
      </w:r>
      <w:r w:rsidR="001B5953" w:rsidRPr="00741079">
        <w:rPr>
          <w:spacing w:val="-2"/>
          <w:sz w:val="26"/>
        </w:rPr>
        <w:t>сахар (на 35,4%),</w:t>
      </w:r>
      <w:r w:rsidR="001B5953" w:rsidRPr="00741079">
        <w:rPr>
          <w:spacing w:val="-2"/>
          <w:sz w:val="26"/>
          <w:szCs w:val="26"/>
        </w:rPr>
        <w:t xml:space="preserve"> фрукты и цитрусовые (на 16,6), овощи (на 12,3), говядину (на 9,4), мясные субпродукты (на 7,2), мороженую рыбу, кроме сельди (на 6,9), </w:t>
      </w:r>
      <w:r w:rsidR="007265D8" w:rsidRPr="00741079">
        <w:rPr>
          <w:spacing w:val="-2"/>
          <w:sz w:val="26"/>
          <w:szCs w:val="26"/>
        </w:rPr>
        <w:t>мучные кондитерские изделия (на 6,2), сельд</w:t>
      </w:r>
      <w:r w:rsidR="00605087">
        <w:rPr>
          <w:spacing w:val="-2"/>
          <w:sz w:val="26"/>
          <w:szCs w:val="26"/>
        </w:rPr>
        <w:t>и</w:t>
      </w:r>
      <w:r w:rsidR="007265D8" w:rsidRPr="00741079">
        <w:rPr>
          <w:spacing w:val="-2"/>
          <w:sz w:val="26"/>
          <w:szCs w:val="26"/>
        </w:rPr>
        <w:t xml:space="preserve"> (на 5,5), шоколадные конфеты (на 5,3)</w:t>
      </w:r>
      <w:r w:rsidR="00AB4E75" w:rsidRPr="00741079">
        <w:rPr>
          <w:spacing w:val="-2"/>
          <w:sz w:val="26"/>
          <w:szCs w:val="26"/>
        </w:rPr>
        <w:t xml:space="preserve">, </w:t>
      </w:r>
      <w:r w:rsidR="006C6F91" w:rsidRPr="00741079">
        <w:rPr>
          <w:spacing w:val="-2"/>
          <w:sz w:val="26"/>
          <w:szCs w:val="26"/>
        </w:rPr>
        <w:t>варенье, джем, повидло, мёд (на 4,7</w:t>
      </w:r>
      <w:proofErr w:type="gramEnd"/>
      <w:r w:rsidR="006C6F91" w:rsidRPr="00741079">
        <w:rPr>
          <w:spacing w:val="-2"/>
          <w:sz w:val="26"/>
          <w:szCs w:val="26"/>
        </w:rPr>
        <w:t xml:space="preserve">), </w:t>
      </w:r>
      <w:r w:rsidR="006C6F91" w:rsidRPr="00741079">
        <w:rPr>
          <w:spacing w:val="-2"/>
          <w:sz w:val="26"/>
        </w:rPr>
        <w:t xml:space="preserve">соус, соль, специи и концентраты, </w:t>
      </w:r>
      <w:r w:rsidR="00AB4E75" w:rsidRPr="00741079">
        <w:rPr>
          <w:spacing w:val="-2"/>
          <w:sz w:val="26"/>
          <w:szCs w:val="26"/>
        </w:rPr>
        <w:t>чай, кафе, какао (на 4,6</w:t>
      </w:r>
      <w:r w:rsidR="006C6F91" w:rsidRPr="00741079">
        <w:rPr>
          <w:spacing w:val="-2"/>
          <w:sz w:val="26"/>
          <w:szCs w:val="26"/>
        </w:rPr>
        <w:t xml:space="preserve">), хлеб и хлебобулочные изделия (на 4,5), </w:t>
      </w:r>
      <w:r w:rsidR="003C1F46" w:rsidRPr="00741079">
        <w:rPr>
          <w:spacing w:val="-2"/>
          <w:sz w:val="26"/>
          <w:szCs w:val="26"/>
        </w:rPr>
        <w:t>пиво (на 4,2), яйца, масло и жиры (на 4,0%).</w:t>
      </w:r>
    </w:p>
    <w:p w:rsidR="00F34928" w:rsidRPr="00773AC4" w:rsidRDefault="003C1F46" w:rsidP="00715905">
      <w:pPr>
        <w:widowControl/>
        <w:ind w:firstLine="709"/>
        <w:jc w:val="both"/>
        <w:rPr>
          <w:spacing w:val="-4"/>
          <w:sz w:val="26"/>
        </w:rPr>
      </w:pPr>
      <w:r w:rsidRPr="00741079">
        <w:rPr>
          <w:spacing w:val="-2"/>
          <w:sz w:val="26"/>
        </w:rPr>
        <w:t>По группам непродовольственных товаров более</w:t>
      </w:r>
      <w:r w:rsidR="003A7706" w:rsidRPr="00741079">
        <w:rPr>
          <w:spacing w:val="-2"/>
          <w:sz w:val="26"/>
        </w:rPr>
        <w:t xml:space="preserve"> всего</w:t>
      </w:r>
      <w:r w:rsidRPr="00741079">
        <w:rPr>
          <w:spacing w:val="-2"/>
          <w:sz w:val="26"/>
        </w:rPr>
        <w:t xml:space="preserve"> </w:t>
      </w:r>
      <w:r w:rsidRPr="00741079">
        <w:rPr>
          <w:spacing w:val="-2"/>
          <w:sz w:val="26"/>
          <w:szCs w:val="26"/>
        </w:rPr>
        <w:t>подорожали</w:t>
      </w:r>
      <w:r w:rsidRPr="00741079">
        <w:rPr>
          <w:spacing w:val="-2"/>
          <w:sz w:val="26"/>
        </w:rPr>
        <w:t xml:space="preserve"> </w:t>
      </w:r>
      <w:r w:rsidR="00A8193E" w:rsidRPr="00741079">
        <w:rPr>
          <w:spacing w:val="-2"/>
          <w:sz w:val="26"/>
        </w:rPr>
        <w:t xml:space="preserve">ювелирные изделия (на 36,6%), легковые автомобили (на 25,9), </w:t>
      </w:r>
      <w:proofErr w:type="spellStart"/>
      <w:r w:rsidR="007C3CB5" w:rsidRPr="00741079">
        <w:rPr>
          <w:spacing w:val="-2"/>
          <w:sz w:val="26"/>
        </w:rPr>
        <w:t>телерадиотовары</w:t>
      </w:r>
      <w:proofErr w:type="spellEnd"/>
      <w:r w:rsidR="007C3CB5" w:rsidRPr="00741079">
        <w:rPr>
          <w:spacing w:val="-2"/>
          <w:sz w:val="26"/>
        </w:rPr>
        <w:t xml:space="preserve"> (на 23,9), электр</w:t>
      </w:r>
      <w:r w:rsidR="007C3CB5" w:rsidRPr="00741079">
        <w:rPr>
          <w:spacing w:val="-2"/>
          <w:sz w:val="26"/>
        </w:rPr>
        <w:t>о</w:t>
      </w:r>
      <w:r w:rsidR="007C3CB5" w:rsidRPr="00741079">
        <w:rPr>
          <w:spacing w:val="-2"/>
          <w:sz w:val="26"/>
        </w:rPr>
        <w:t xml:space="preserve">товары и другие бытовые приборы (на 20,3), персональные компьютеры (на 17,8), </w:t>
      </w:r>
      <w:r w:rsidR="00A8193E" w:rsidRPr="00741079">
        <w:rPr>
          <w:spacing w:val="-2"/>
          <w:sz w:val="26"/>
        </w:rPr>
        <w:t>мед</w:t>
      </w:r>
      <w:r w:rsidR="00A8193E" w:rsidRPr="00741079">
        <w:rPr>
          <w:spacing w:val="-2"/>
          <w:sz w:val="26"/>
        </w:rPr>
        <w:t>и</w:t>
      </w:r>
      <w:r w:rsidR="00A8193E" w:rsidRPr="00741079">
        <w:rPr>
          <w:spacing w:val="-2"/>
          <w:sz w:val="26"/>
        </w:rPr>
        <w:t xml:space="preserve">каменты, </w:t>
      </w:r>
      <w:r w:rsidR="00296BE0">
        <w:rPr>
          <w:spacing w:val="-2"/>
          <w:sz w:val="26"/>
        </w:rPr>
        <w:t>кроме</w:t>
      </w:r>
      <w:r w:rsidR="00A8193E" w:rsidRPr="00741079">
        <w:rPr>
          <w:spacing w:val="-2"/>
          <w:sz w:val="26"/>
        </w:rPr>
        <w:t xml:space="preserve"> жизненно важных (на 16,8), </w:t>
      </w:r>
      <w:r w:rsidR="00166556" w:rsidRPr="00741079">
        <w:rPr>
          <w:spacing w:val="-2"/>
          <w:sz w:val="26"/>
        </w:rPr>
        <w:t xml:space="preserve">спички (на 16,7), </w:t>
      </w:r>
      <w:r w:rsidR="00A8193E" w:rsidRPr="00741079">
        <w:rPr>
          <w:spacing w:val="-2"/>
          <w:sz w:val="26"/>
        </w:rPr>
        <w:t>фотоаппараты (на 14,2),</w:t>
      </w:r>
      <w:r w:rsidR="00741079" w:rsidRPr="00741079">
        <w:rPr>
          <w:spacing w:val="-2"/>
          <w:szCs w:val="16"/>
        </w:rPr>
        <w:t xml:space="preserve"> </w:t>
      </w:r>
      <w:r w:rsidR="00741079" w:rsidRPr="00773AC4">
        <w:rPr>
          <w:spacing w:val="-4"/>
          <w:sz w:val="26"/>
        </w:rPr>
        <w:t xml:space="preserve">бумажно-беловые товары (на 12,8), парфюмерно-косметические товары, садоводческие товары </w:t>
      </w:r>
      <w:r w:rsidR="00F34928" w:rsidRPr="00773AC4">
        <w:rPr>
          <w:spacing w:val="-4"/>
          <w:sz w:val="26"/>
        </w:rPr>
        <w:t>(на 12,2), строительные материалы (на 11,6), товары для животных (на 11,4), мо</w:t>
      </w:r>
      <w:r w:rsidR="00F34928" w:rsidRPr="00773AC4">
        <w:rPr>
          <w:spacing w:val="-4"/>
          <w:sz w:val="26"/>
        </w:rPr>
        <w:t>ю</w:t>
      </w:r>
      <w:r w:rsidR="00F34928" w:rsidRPr="00773AC4">
        <w:rPr>
          <w:spacing w:val="-4"/>
          <w:sz w:val="26"/>
        </w:rPr>
        <w:t>щие и чистящие средства (на 11,1), инструменты и оборудование (на 10,3), постельное б</w:t>
      </w:r>
      <w:r w:rsidR="00F34928" w:rsidRPr="00773AC4">
        <w:rPr>
          <w:spacing w:val="-4"/>
          <w:sz w:val="26"/>
        </w:rPr>
        <w:t>е</w:t>
      </w:r>
      <w:r w:rsidR="00F34928" w:rsidRPr="00773AC4">
        <w:rPr>
          <w:spacing w:val="-4"/>
          <w:sz w:val="26"/>
        </w:rPr>
        <w:t>льё (на 8,4), жизненно важные медикаменты (на 6,7</w:t>
      </w:r>
      <w:r w:rsidR="00720345" w:rsidRPr="00773AC4">
        <w:rPr>
          <w:spacing w:val="-4"/>
          <w:sz w:val="26"/>
        </w:rPr>
        <w:t xml:space="preserve">), </w:t>
      </w:r>
      <w:r w:rsidR="00296BE0" w:rsidRPr="00773AC4">
        <w:rPr>
          <w:spacing w:val="-4"/>
          <w:sz w:val="26"/>
        </w:rPr>
        <w:t xml:space="preserve">мебель (на 5,4), </w:t>
      </w:r>
      <w:r w:rsidR="00AB2D56" w:rsidRPr="00773AC4">
        <w:rPr>
          <w:spacing w:val="-4"/>
          <w:sz w:val="26"/>
        </w:rPr>
        <w:t>галантерейные тов</w:t>
      </w:r>
      <w:r w:rsidR="00AB2D56" w:rsidRPr="00773AC4">
        <w:rPr>
          <w:spacing w:val="-4"/>
          <w:sz w:val="26"/>
        </w:rPr>
        <w:t>а</w:t>
      </w:r>
      <w:r w:rsidR="00AB2D56" w:rsidRPr="00773AC4">
        <w:rPr>
          <w:spacing w:val="-4"/>
          <w:sz w:val="26"/>
        </w:rPr>
        <w:t xml:space="preserve">ры (на 5,1), </w:t>
      </w:r>
      <w:r w:rsidR="00720345" w:rsidRPr="00773AC4">
        <w:rPr>
          <w:spacing w:val="-4"/>
          <w:sz w:val="26"/>
        </w:rPr>
        <w:t>полотенца (на 5,0</w:t>
      </w:r>
      <w:r w:rsidR="00F34928" w:rsidRPr="00773AC4">
        <w:rPr>
          <w:spacing w:val="-4"/>
          <w:sz w:val="26"/>
        </w:rPr>
        <w:t>%).</w:t>
      </w:r>
      <w:r w:rsidR="00E231BD" w:rsidRPr="00773AC4">
        <w:rPr>
          <w:spacing w:val="-4"/>
          <w:sz w:val="26"/>
        </w:rPr>
        <w:t xml:space="preserve"> </w:t>
      </w:r>
      <w:r w:rsidR="00264FAB" w:rsidRPr="00773AC4">
        <w:rPr>
          <w:spacing w:val="-4"/>
          <w:sz w:val="26"/>
        </w:rPr>
        <w:t>Подешевело</w:t>
      </w:r>
      <w:r w:rsidR="00721F07" w:rsidRPr="00773AC4">
        <w:rPr>
          <w:spacing w:val="-4"/>
          <w:sz w:val="26"/>
        </w:rPr>
        <w:t xml:space="preserve"> </w:t>
      </w:r>
      <w:r w:rsidR="002250C7" w:rsidRPr="00773AC4">
        <w:rPr>
          <w:spacing w:val="-4"/>
          <w:sz w:val="26"/>
        </w:rPr>
        <w:t xml:space="preserve">моторное топливо (на </w:t>
      </w:r>
      <w:r w:rsidR="00F34928" w:rsidRPr="00773AC4">
        <w:rPr>
          <w:spacing w:val="-4"/>
          <w:sz w:val="26"/>
        </w:rPr>
        <w:t>0,2</w:t>
      </w:r>
      <w:r w:rsidR="002250C7" w:rsidRPr="00773AC4">
        <w:rPr>
          <w:spacing w:val="-4"/>
          <w:sz w:val="26"/>
        </w:rPr>
        <w:t>%)</w:t>
      </w:r>
      <w:r w:rsidR="00F34928" w:rsidRPr="00773AC4">
        <w:rPr>
          <w:spacing w:val="-4"/>
          <w:sz w:val="26"/>
        </w:rPr>
        <w:t>.</w:t>
      </w:r>
    </w:p>
    <w:p w:rsidR="0038658B" w:rsidRPr="00773AC4" w:rsidRDefault="00D55C27" w:rsidP="0040059E">
      <w:pPr>
        <w:widowControl/>
        <w:spacing w:line="245" w:lineRule="auto"/>
        <w:ind w:firstLine="709"/>
        <w:jc w:val="both"/>
        <w:rPr>
          <w:bCs/>
          <w:spacing w:val="-2"/>
          <w:sz w:val="26"/>
          <w:szCs w:val="26"/>
        </w:rPr>
      </w:pPr>
      <w:r w:rsidRPr="00773AC4">
        <w:rPr>
          <w:spacing w:val="-2"/>
          <w:sz w:val="26"/>
          <w:szCs w:val="26"/>
        </w:rPr>
        <w:t xml:space="preserve">Среди услуг </w:t>
      </w:r>
      <w:r w:rsidR="00034CAA" w:rsidRPr="00773AC4">
        <w:rPr>
          <w:spacing w:val="-2"/>
          <w:sz w:val="26"/>
          <w:szCs w:val="26"/>
        </w:rPr>
        <w:t>значительно возросла</w:t>
      </w:r>
      <w:r w:rsidR="00034CAA" w:rsidRPr="00773AC4">
        <w:rPr>
          <w:spacing w:val="-2"/>
        </w:rPr>
        <w:t xml:space="preserve"> </w:t>
      </w:r>
      <w:r w:rsidR="00034CAA" w:rsidRPr="00773AC4">
        <w:rPr>
          <w:spacing w:val="-2"/>
          <w:sz w:val="26"/>
          <w:szCs w:val="26"/>
        </w:rPr>
        <w:t>с</w:t>
      </w:r>
      <w:r w:rsidR="00034CAA" w:rsidRPr="00773AC4">
        <w:rPr>
          <w:bCs/>
          <w:spacing w:val="-2"/>
          <w:sz w:val="26"/>
          <w:szCs w:val="26"/>
        </w:rPr>
        <w:t>тоимость услуг в сфере зарубежного туризма (на 66,0%),</w:t>
      </w:r>
      <w:r w:rsidR="00504B1E" w:rsidRPr="00773AC4">
        <w:rPr>
          <w:bCs/>
          <w:spacing w:val="-2"/>
          <w:sz w:val="26"/>
          <w:szCs w:val="26"/>
        </w:rPr>
        <w:t xml:space="preserve"> банков (на 43,9), а также экскурсионных услуг (12,9), ветеринарных (на 10,6)</w:t>
      </w:r>
      <w:r w:rsidR="0038658B" w:rsidRPr="00773AC4">
        <w:rPr>
          <w:bCs/>
          <w:spacing w:val="-2"/>
          <w:sz w:val="26"/>
          <w:szCs w:val="26"/>
        </w:rPr>
        <w:t>, страхования (на 9,7</w:t>
      </w:r>
      <w:r w:rsidR="0038658B" w:rsidRPr="00773AC4">
        <w:rPr>
          <w:bCs/>
          <w:color w:val="auto"/>
          <w:spacing w:val="-2"/>
          <w:sz w:val="26"/>
          <w:szCs w:val="26"/>
        </w:rPr>
        <w:t>)</w:t>
      </w:r>
      <w:r w:rsidR="0013059C" w:rsidRPr="00773AC4">
        <w:rPr>
          <w:bCs/>
          <w:color w:val="auto"/>
          <w:spacing w:val="-2"/>
          <w:sz w:val="26"/>
          <w:szCs w:val="26"/>
        </w:rPr>
        <w:t>,</w:t>
      </w:r>
      <w:r w:rsidR="00C2776B" w:rsidRPr="00773AC4">
        <w:rPr>
          <w:bCs/>
          <w:color w:val="auto"/>
          <w:spacing w:val="-2"/>
          <w:sz w:val="26"/>
          <w:szCs w:val="26"/>
        </w:rPr>
        <w:t xml:space="preserve"> посреднических и прочих услуг</w:t>
      </w:r>
      <w:r w:rsidR="0013059C" w:rsidRPr="00773AC4">
        <w:rPr>
          <w:bCs/>
          <w:spacing w:val="-2"/>
          <w:sz w:val="26"/>
          <w:szCs w:val="26"/>
        </w:rPr>
        <w:t xml:space="preserve"> </w:t>
      </w:r>
      <w:r w:rsidR="00C2776B" w:rsidRPr="00773AC4">
        <w:rPr>
          <w:bCs/>
          <w:spacing w:val="-2"/>
          <w:sz w:val="26"/>
          <w:szCs w:val="26"/>
        </w:rPr>
        <w:t xml:space="preserve">(на 7,6), </w:t>
      </w:r>
      <w:r w:rsidR="0013059C" w:rsidRPr="00773AC4">
        <w:rPr>
          <w:bCs/>
          <w:spacing w:val="-2"/>
          <w:sz w:val="26"/>
          <w:szCs w:val="26"/>
        </w:rPr>
        <w:t>б</w:t>
      </w:r>
      <w:r w:rsidR="009C67AA" w:rsidRPr="00773AC4">
        <w:rPr>
          <w:bCs/>
          <w:spacing w:val="-2"/>
          <w:sz w:val="26"/>
          <w:szCs w:val="26"/>
        </w:rPr>
        <w:t>ытовых (на 3,9)</w:t>
      </w:r>
      <w:r w:rsidR="00C2776B" w:rsidRPr="00773AC4">
        <w:rPr>
          <w:bCs/>
          <w:spacing w:val="-2"/>
          <w:sz w:val="26"/>
          <w:szCs w:val="26"/>
        </w:rPr>
        <w:t>, физич</w:t>
      </w:r>
      <w:r w:rsidR="00C2776B" w:rsidRPr="00773AC4">
        <w:rPr>
          <w:bCs/>
          <w:spacing w:val="-2"/>
          <w:sz w:val="26"/>
          <w:szCs w:val="26"/>
        </w:rPr>
        <w:t>е</w:t>
      </w:r>
      <w:r w:rsidR="00C2776B" w:rsidRPr="00773AC4">
        <w:rPr>
          <w:bCs/>
          <w:spacing w:val="-2"/>
          <w:sz w:val="26"/>
          <w:szCs w:val="26"/>
        </w:rPr>
        <w:t>ской культуры и спорта (</w:t>
      </w:r>
      <w:proofErr w:type="gramStart"/>
      <w:r w:rsidR="00C2776B" w:rsidRPr="00773AC4">
        <w:rPr>
          <w:bCs/>
          <w:spacing w:val="-2"/>
          <w:sz w:val="26"/>
          <w:szCs w:val="26"/>
        </w:rPr>
        <w:t>на</w:t>
      </w:r>
      <w:proofErr w:type="gramEnd"/>
      <w:r w:rsidR="00C2776B" w:rsidRPr="00773AC4">
        <w:rPr>
          <w:bCs/>
          <w:spacing w:val="-2"/>
          <w:sz w:val="26"/>
          <w:szCs w:val="26"/>
        </w:rPr>
        <w:t xml:space="preserve"> 1,8), медицинских (на 1,7%).</w:t>
      </w:r>
    </w:p>
    <w:p w:rsidR="004A2CC6" w:rsidRPr="00773AC4" w:rsidRDefault="004A2CC6" w:rsidP="004A2CC6">
      <w:pPr>
        <w:widowControl/>
        <w:spacing w:line="245" w:lineRule="auto"/>
        <w:ind w:firstLine="709"/>
        <w:jc w:val="both"/>
        <w:rPr>
          <w:bCs/>
          <w:spacing w:val="-2"/>
          <w:sz w:val="26"/>
          <w:szCs w:val="26"/>
        </w:rPr>
      </w:pPr>
      <w:r w:rsidRPr="00773AC4">
        <w:rPr>
          <w:bCs/>
          <w:spacing w:val="-2"/>
          <w:sz w:val="26"/>
          <w:szCs w:val="26"/>
        </w:rPr>
        <w:t xml:space="preserve">Из услуг пассажирского транспорта </w:t>
      </w:r>
      <w:r w:rsidR="006231A3" w:rsidRPr="00773AC4">
        <w:rPr>
          <w:bCs/>
          <w:spacing w:val="-2"/>
          <w:sz w:val="26"/>
          <w:szCs w:val="26"/>
        </w:rPr>
        <w:t>увеличилась стоимость</w:t>
      </w:r>
      <w:r w:rsidRPr="00773AC4">
        <w:rPr>
          <w:bCs/>
          <w:spacing w:val="-2"/>
          <w:sz w:val="26"/>
          <w:szCs w:val="26"/>
        </w:rPr>
        <w:t xml:space="preserve"> услуг</w:t>
      </w:r>
      <w:r w:rsidRPr="00773AC4">
        <w:rPr>
          <w:bCs/>
          <w:spacing w:val="-2"/>
        </w:rPr>
        <w:t xml:space="preserve"> </w:t>
      </w:r>
      <w:r w:rsidRPr="00773AC4">
        <w:rPr>
          <w:bCs/>
          <w:spacing w:val="-2"/>
          <w:sz w:val="26"/>
          <w:szCs w:val="26"/>
        </w:rPr>
        <w:t>железнодоро</w:t>
      </w:r>
      <w:r w:rsidRPr="00773AC4">
        <w:rPr>
          <w:bCs/>
          <w:spacing w:val="-2"/>
          <w:sz w:val="26"/>
          <w:szCs w:val="26"/>
        </w:rPr>
        <w:t>ж</w:t>
      </w:r>
      <w:r w:rsidRPr="00773AC4">
        <w:rPr>
          <w:bCs/>
          <w:spacing w:val="-2"/>
          <w:sz w:val="26"/>
          <w:szCs w:val="26"/>
        </w:rPr>
        <w:t xml:space="preserve">ного и </w:t>
      </w:r>
      <w:r w:rsidRPr="00773AC4">
        <w:rPr>
          <w:spacing w:val="-2"/>
          <w:sz w:val="26"/>
          <w:szCs w:val="26"/>
        </w:rPr>
        <w:t>воздушного</w:t>
      </w:r>
      <w:r w:rsidRPr="00773AC4">
        <w:rPr>
          <w:bCs/>
          <w:spacing w:val="-2"/>
          <w:sz w:val="26"/>
          <w:szCs w:val="26"/>
        </w:rPr>
        <w:t xml:space="preserve"> транспорта (соответственно на 7,5% и 1,1%), при этом снизилась</w:t>
      </w:r>
      <w:r w:rsidRPr="00773AC4">
        <w:rPr>
          <w:spacing w:val="-2"/>
          <w:sz w:val="26"/>
          <w:szCs w:val="26"/>
        </w:rPr>
        <w:t xml:space="preserve"> с</w:t>
      </w:r>
      <w:r w:rsidRPr="00773AC4">
        <w:rPr>
          <w:bCs/>
          <w:spacing w:val="-2"/>
          <w:sz w:val="26"/>
          <w:szCs w:val="26"/>
        </w:rPr>
        <w:t>т</w:t>
      </w:r>
      <w:r w:rsidRPr="00773AC4">
        <w:rPr>
          <w:bCs/>
          <w:spacing w:val="-2"/>
          <w:sz w:val="26"/>
          <w:szCs w:val="26"/>
        </w:rPr>
        <w:t>о</w:t>
      </w:r>
      <w:r w:rsidRPr="00773AC4">
        <w:rPr>
          <w:bCs/>
          <w:spacing w:val="-2"/>
          <w:sz w:val="26"/>
          <w:szCs w:val="26"/>
        </w:rPr>
        <w:t>имость проезда в такси (на 0,4%).</w:t>
      </w:r>
    </w:p>
    <w:p w:rsidR="00EE7EC0" w:rsidRPr="00773AC4" w:rsidRDefault="00EE7EC0" w:rsidP="00EE7EC0">
      <w:pPr>
        <w:widowControl/>
        <w:spacing w:line="245" w:lineRule="auto"/>
        <w:ind w:firstLine="709"/>
        <w:jc w:val="both"/>
        <w:rPr>
          <w:bCs/>
          <w:spacing w:val="-2"/>
          <w:sz w:val="26"/>
          <w:szCs w:val="26"/>
        </w:rPr>
      </w:pPr>
      <w:r w:rsidRPr="00773AC4">
        <w:rPr>
          <w:bCs/>
          <w:spacing w:val="-2"/>
          <w:sz w:val="26"/>
          <w:szCs w:val="26"/>
        </w:rPr>
        <w:t xml:space="preserve">Снизилась </w:t>
      </w:r>
      <w:r w:rsidRPr="00773AC4">
        <w:rPr>
          <w:spacing w:val="-2"/>
          <w:sz w:val="26"/>
          <w:szCs w:val="26"/>
        </w:rPr>
        <w:t>с</w:t>
      </w:r>
      <w:r w:rsidRPr="00773AC4">
        <w:rPr>
          <w:bCs/>
          <w:spacing w:val="-2"/>
          <w:sz w:val="26"/>
          <w:szCs w:val="26"/>
        </w:rPr>
        <w:t>тоимость услуг гостиниц и прочих мест проживания (на 5,4%), аб</w:t>
      </w:r>
      <w:r w:rsidRPr="00773AC4">
        <w:rPr>
          <w:bCs/>
          <w:spacing w:val="-2"/>
          <w:sz w:val="26"/>
          <w:szCs w:val="26"/>
        </w:rPr>
        <w:t>о</w:t>
      </w:r>
      <w:r w:rsidRPr="00773AC4">
        <w:rPr>
          <w:bCs/>
          <w:spacing w:val="-2"/>
          <w:sz w:val="26"/>
          <w:szCs w:val="26"/>
        </w:rPr>
        <w:t>нентская плата за пакет услуг сотовой связи (на 3,4%).</w:t>
      </w:r>
    </w:p>
    <w:p w:rsidR="00EE7EC0" w:rsidRDefault="00EE7EC0" w:rsidP="00EE7EC0">
      <w:pPr>
        <w:widowControl/>
        <w:spacing w:line="245" w:lineRule="auto"/>
        <w:ind w:firstLine="709"/>
        <w:jc w:val="both"/>
        <w:rPr>
          <w:bCs/>
          <w:spacing w:val="-4"/>
          <w:sz w:val="26"/>
          <w:szCs w:val="26"/>
        </w:rPr>
      </w:pPr>
    </w:p>
    <w:p w:rsidR="009905BC" w:rsidRPr="002A1ED4" w:rsidRDefault="009905BC" w:rsidP="009905BC">
      <w:pPr>
        <w:tabs>
          <w:tab w:val="left" w:pos="142"/>
        </w:tabs>
        <w:jc w:val="right"/>
        <w:rPr>
          <w:i/>
          <w:szCs w:val="24"/>
        </w:rPr>
      </w:pPr>
      <w:r w:rsidRPr="002A1ED4">
        <w:rPr>
          <w:i/>
          <w:szCs w:val="24"/>
        </w:rPr>
        <w:t>Срочная информация по актуальным вопросам</w:t>
      </w:r>
    </w:p>
    <w:p w:rsidR="009905BC" w:rsidRPr="002A1ED4" w:rsidRDefault="009905BC" w:rsidP="009905BC">
      <w:pPr>
        <w:tabs>
          <w:tab w:val="left" w:pos="142"/>
        </w:tabs>
        <w:jc w:val="right"/>
        <w:rPr>
          <w:i/>
          <w:szCs w:val="24"/>
        </w:rPr>
      </w:pPr>
      <w:proofErr w:type="spellStart"/>
      <w:r w:rsidRPr="001E419A">
        <w:rPr>
          <w:i/>
          <w:szCs w:val="24"/>
        </w:rPr>
        <w:t>Copyright</w:t>
      </w:r>
      <w:proofErr w:type="spellEnd"/>
      <w:r w:rsidRPr="002A1ED4">
        <w:rPr>
          <w:i/>
          <w:szCs w:val="24"/>
        </w:rPr>
        <w:t xml:space="preserve"> © Территориальный орган Федеральной службы</w:t>
      </w:r>
    </w:p>
    <w:p w:rsidR="009905BC" w:rsidRDefault="009905BC" w:rsidP="009905BC">
      <w:pPr>
        <w:widowControl/>
        <w:spacing w:line="245" w:lineRule="auto"/>
        <w:ind w:firstLine="709"/>
        <w:jc w:val="right"/>
        <w:rPr>
          <w:i/>
          <w:szCs w:val="24"/>
        </w:rPr>
      </w:pPr>
      <w:r w:rsidRPr="001E419A">
        <w:rPr>
          <w:i/>
          <w:szCs w:val="24"/>
        </w:rPr>
        <w:t>государственной статистики по Мурманской области</w:t>
      </w:r>
    </w:p>
    <w:p w:rsidR="009905BC" w:rsidRDefault="009905BC" w:rsidP="009905BC">
      <w:pPr>
        <w:widowControl/>
        <w:spacing w:line="245" w:lineRule="auto"/>
        <w:ind w:firstLine="709"/>
        <w:jc w:val="right"/>
        <w:rPr>
          <w:i/>
          <w:szCs w:val="24"/>
        </w:rPr>
      </w:pPr>
      <w:bookmarkStart w:id="0" w:name="_GoBack"/>
      <w:bookmarkEnd w:id="0"/>
    </w:p>
    <w:sectPr w:rsidR="009905BC" w:rsidSect="005D2D96">
      <w:headerReference w:type="default" r:id="rId8"/>
      <w:footerReference w:type="default" r:id="rId9"/>
      <w:type w:val="continuous"/>
      <w:pgSz w:w="11907" w:h="16840" w:code="9"/>
      <w:pgMar w:top="1134" w:right="851" w:bottom="851" w:left="1247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20" w:rsidRDefault="005C7B20">
      <w:r>
        <w:separator/>
      </w:r>
    </w:p>
  </w:endnote>
  <w:endnote w:type="continuationSeparator" w:id="0">
    <w:p w:rsidR="005C7B20" w:rsidRDefault="005C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79" w:rsidRDefault="006C6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20" w:rsidRDefault="005C7B20">
      <w:r>
        <w:separator/>
      </w:r>
    </w:p>
  </w:footnote>
  <w:footnote w:type="continuationSeparator" w:id="0">
    <w:p w:rsidR="005C7B20" w:rsidRDefault="005C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79" w:rsidRDefault="00267CA5">
    <w:pPr>
      <w:framePr w:wrap="around" w:vAnchor="text" w:hAnchor="margin" w:xAlign="center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9905BC">
      <w:rPr>
        <w:rStyle w:val="af0"/>
        <w:noProof/>
      </w:rPr>
      <w:t>2</w:t>
    </w:r>
    <w:r>
      <w:rPr>
        <w:rStyle w:val="af0"/>
      </w:rPr>
      <w:fldChar w:fldCharType="end"/>
    </w:r>
  </w:p>
  <w:p w:rsidR="006C6B79" w:rsidRDefault="006C6B7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9"/>
    <w:rsid w:val="000076A4"/>
    <w:rsid w:val="00016021"/>
    <w:rsid w:val="000328A4"/>
    <w:rsid w:val="000339A2"/>
    <w:rsid w:val="000344DD"/>
    <w:rsid w:val="00034CAA"/>
    <w:rsid w:val="00041BB3"/>
    <w:rsid w:val="00050209"/>
    <w:rsid w:val="000739E2"/>
    <w:rsid w:val="000E0669"/>
    <w:rsid w:val="000E0C75"/>
    <w:rsid w:val="000E22DE"/>
    <w:rsid w:val="000F4235"/>
    <w:rsid w:val="0013059C"/>
    <w:rsid w:val="00132F22"/>
    <w:rsid w:val="0014099B"/>
    <w:rsid w:val="00154F44"/>
    <w:rsid w:val="00166556"/>
    <w:rsid w:val="00180975"/>
    <w:rsid w:val="0018219E"/>
    <w:rsid w:val="001825DE"/>
    <w:rsid w:val="00183F54"/>
    <w:rsid w:val="00186EE2"/>
    <w:rsid w:val="001B4130"/>
    <w:rsid w:val="001B5953"/>
    <w:rsid w:val="001C1C1B"/>
    <w:rsid w:val="001C594D"/>
    <w:rsid w:val="001D0FA1"/>
    <w:rsid w:val="001F0AE2"/>
    <w:rsid w:val="00212E49"/>
    <w:rsid w:val="00224B1B"/>
    <w:rsid w:val="002250C7"/>
    <w:rsid w:val="00225724"/>
    <w:rsid w:val="0024113E"/>
    <w:rsid w:val="00264FAB"/>
    <w:rsid w:val="00267CA5"/>
    <w:rsid w:val="0028318D"/>
    <w:rsid w:val="00287CA5"/>
    <w:rsid w:val="002914D8"/>
    <w:rsid w:val="00296BE0"/>
    <w:rsid w:val="002A4580"/>
    <w:rsid w:val="002B6590"/>
    <w:rsid w:val="002C174A"/>
    <w:rsid w:val="002C32B9"/>
    <w:rsid w:val="002C6473"/>
    <w:rsid w:val="002D09AE"/>
    <w:rsid w:val="002E58E4"/>
    <w:rsid w:val="002F289D"/>
    <w:rsid w:val="002F301F"/>
    <w:rsid w:val="002F3823"/>
    <w:rsid w:val="00311298"/>
    <w:rsid w:val="0031616E"/>
    <w:rsid w:val="00322F39"/>
    <w:rsid w:val="00333261"/>
    <w:rsid w:val="00341DBA"/>
    <w:rsid w:val="00383269"/>
    <w:rsid w:val="00386565"/>
    <w:rsid w:val="0038658B"/>
    <w:rsid w:val="0039303D"/>
    <w:rsid w:val="0039603B"/>
    <w:rsid w:val="003A1EEC"/>
    <w:rsid w:val="003A3DAB"/>
    <w:rsid w:val="003A7706"/>
    <w:rsid w:val="003C1F46"/>
    <w:rsid w:val="003D6977"/>
    <w:rsid w:val="003F0300"/>
    <w:rsid w:val="003F0EE5"/>
    <w:rsid w:val="0040059E"/>
    <w:rsid w:val="00404C6B"/>
    <w:rsid w:val="00405CB3"/>
    <w:rsid w:val="00407492"/>
    <w:rsid w:val="004167F2"/>
    <w:rsid w:val="00423F72"/>
    <w:rsid w:val="00440917"/>
    <w:rsid w:val="00450987"/>
    <w:rsid w:val="0045795B"/>
    <w:rsid w:val="0048575A"/>
    <w:rsid w:val="00492942"/>
    <w:rsid w:val="004A2CC6"/>
    <w:rsid w:val="004A6F1D"/>
    <w:rsid w:val="004B2102"/>
    <w:rsid w:val="004B28A7"/>
    <w:rsid w:val="004D3093"/>
    <w:rsid w:val="004E193E"/>
    <w:rsid w:val="004F1610"/>
    <w:rsid w:val="004F1762"/>
    <w:rsid w:val="00504B1E"/>
    <w:rsid w:val="00516DEA"/>
    <w:rsid w:val="00525A3A"/>
    <w:rsid w:val="00553AE0"/>
    <w:rsid w:val="00565EA4"/>
    <w:rsid w:val="005708E5"/>
    <w:rsid w:val="00577ADB"/>
    <w:rsid w:val="0058352B"/>
    <w:rsid w:val="00595481"/>
    <w:rsid w:val="00597AE5"/>
    <w:rsid w:val="005A29BE"/>
    <w:rsid w:val="005A6850"/>
    <w:rsid w:val="005B08A8"/>
    <w:rsid w:val="005C60B3"/>
    <w:rsid w:val="005C7B20"/>
    <w:rsid w:val="005D2192"/>
    <w:rsid w:val="005D2D96"/>
    <w:rsid w:val="005E6C12"/>
    <w:rsid w:val="005F5C8F"/>
    <w:rsid w:val="00605087"/>
    <w:rsid w:val="00605963"/>
    <w:rsid w:val="00620B7A"/>
    <w:rsid w:val="006231A3"/>
    <w:rsid w:val="00635DAA"/>
    <w:rsid w:val="00637C04"/>
    <w:rsid w:val="006535F4"/>
    <w:rsid w:val="00657CAA"/>
    <w:rsid w:val="00671CE2"/>
    <w:rsid w:val="006764FE"/>
    <w:rsid w:val="00690415"/>
    <w:rsid w:val="006A57BC"/>
    <w:rsid w:val="006B6BE5"/>
    <w:rsid w:val="006C6B79"/>
    <w:rsid w:val="006C6F91"/>
    <w:rsid w:val="006D7B5A"/>
    <w:rsid w:val="006E27BF"/>
    <w:rsid w:val="006E52DF"/>
    <w:rsid w:val="006E5C56"/>
    <w:rsid w:val="006F2CEC"/>
    <w:rsid w:val="00700F2C"/>
    <w:rsid w:val="007056F2"/>
    <w:rsid w:val="00712550"/>
    <w:rsid w:val="00713A58"/>
    <w:rsid w:val="00715905"/>
    <w:rsid w:val="00720345"/>
    <w:rsid w:val="00721F07"/>
    <w:rsid w:val="007265D8"/>
    <w:rsid w:val="007277D5"/>
    <w:rsid w:val="00727847"/>
    <w:rsid w:val="00741079"/>
    <w:rsid w:val="0075522A"/>
    <w:rsid w:val="007615C7"/>
    <w:rsid w:val="00773AC4"/>
    <w:rsid w:val="00785D53"/>
    <w:rsid w:val="00796763"/>
    <w:rsid w:val="007A6694"/>
    <w:rsid w:val="007B0156"/>
    <w:rsid w:val="007C3CB5"/>
    <w:rsid w:val="007D7CE2"/>
    <w:rsid w:val="007F0635"/>
    <w:rsid w:val="007F5898"/>
    <w:rsid w:val="007F79F4"/>
    <w:rsid w:val="00803EDD"/>
    <w:rsid w:val="00805EAB"/>
    <w:rsid w:val="008429E2"/>
    <w:rsid w:val="00850B16"/>
    <w:rsid w:val="008553DA"/>
    <w:rsid w:val="00866FEE"/>
    <w:rsid w:val="00867DC2"/>
    <w:rsid w:val="0087297B"/>
    <w:rsid w:val="00873878"/>
    <w:rsid w:val="008824A7"/>
    <w:rsid w:val="00887197"/>
    <w:rsid w:val="00893F3B"/>
    <w:rsid w:val="00895787"/>
    <w:rsid w:val="00895B2E"/>
    <w:rsid w:val="00897C2B"/>
    <w:rsid w:val="008B320F"/>
    <w:rsid w:val="008C5435"/>
    <w:rsid w:val="008C565C"/>
    <w:rsid w:val="008C5D76"/>
    <w:rsid w:val="008D4B7A"/>
    <w:rsid w:val="008D5A76"/>
    <w:rsid w:val="008E775B"/>
    <w:rsid w:val="008F3351"/>
    <w:rsid w:val="008F53D5"/>
    <w:rsid w:val="00905AAE"/>
    <w:rsid w:val="00905F42"/>
    <w:rsid w:val="0090690A"/>
    <w:rsid w:val="00917911"/>
    <w:rsid w:val="00924389"/>
    <w:rsid w:val="009244DC"/>
    <w:rsid w:val="00933C3D"/>
    <w:rsid w:val="00943D83"/>
    <w:rsid w:val="00944511"/>
    <w:rsid w:val="00951BDE"/>
    <w:rsid w:val="00952625"/>
    <w:rsid w:val="009905BC"/>
    <w:rsid w:val="009975EF"/>
    <w:rsid w:val="009C2994"/>
    <w:rsid w:val="009C67AA"/>
    <w:rsid w:val="009C757C"/>
    <w:rsid w:val="009E1AE1"/>
    <w:rsid w:val="009F7439"/>
    <w:rsid w:val="00A0741A"/>
    <w:rsid w:val="00A16EF4"/>
    <w:rsid w:val="00A17513"/>
    <w:rsid w:val="00A31C1C"/>
    <w:rsid w:val="00A36516"/>
    <w:rsid w:val="00A36DA6"/>
    <w:rsid w:val="00A61112"/>
    <w:rsid w:val="00A65AD1"/>
    <w:rsid w:val="00A7696F"/>
    <w:rsid w:val="00A77A5A"/>
    <w:rsid w:val="00A8046D"/>
    <w:rsid w:val="00A8193E"/>
    <w:rsid w:val="00A83AF5"/>
    <w:rsid w:val="00A90721"/>
    <w:rsid w:val="00A92AB8"/>
    <w:rsid w:val="00AA4F8D"/>
    <w:rsid w:val="00AB0C09"/>
    <w:rsid w:val="00AB2D56"/>
    <w:rsid w:val="00AB4E75"/>
    <w:rsid w:val="00AC49C1"/>
    <w:rsid w:val="00AC566A"/>
    <w:rsid w:val="00AD32D2"/>
    <w:rsid w:val="00AE3057"/>
    <w:rsid w:val="00AF1A66"/>
    <w:rsid w:val="00AF4723"/>
    <w:rsid w:val="00AF6D3D"/>
    <w:rsid w:val="00B11AFE"/>
    <w:rsid w:val="00B23573"/>
    <w:rsid w:val="00B33707"/>
    <w:rsid w:val="00B5120E"/>
    <w:rsid w:val="00B5433F"/>
    <w:rsid w:val="00B728F4"/>
    <w:rsid w:val="00B7555E"/>
    <w:rsid w:val="00B92841"/>
    <w:rsid w:val="00B956F6"/>
    <w:rsid w:val="00B97E26"/>
    <w:rsid w:val="00BA7035"/>
    <w:rsid w:val="00BB017E"/>
    <w:rsid w:val="00BB3C16"/>
    <w:rsid w:val="00BE1194"/>
    <w:rsid w:val="00BE150B"/>
    <w:rsid w:val="00BE151F"/>
    <w:rsid w:val="00BF4DB6"/>
    <w:rsid w:val="00C1263F"/>
    <w:rsid w:val="00C2545A"/>
    <w:rsid w:val="00C2776B"/>
    <w:rsid w:val="00C31D28"/>
    <w:rsid w:val="00C36185"/>
    <w:rsid w:val="00C64D33"/>
    <w:rsid w:val="00C71C88"/>
    <w:rsid w:val="00C80891"/>
    <w:rsid w:val="00C961DB"/>
    <w:rsid w:val="00CA3B8B"/>
    <w:rsid w:val="00CD0ADD"/>
    <w:rsid w:val="00CD2DE7"/>
    <w:rsid w:val="00CF0298"/>
    <w:rsid w:val="00D20ED7"/>
    <w:rsid w:val="00D55C27"/>
    <w:rsid w:val="00D632C6"/>
    <w:rsid w:val="00D70D7C"/>
    <w:rsid w:val="00D72516"/>
    <w:rsid w:val="00D9645E"/>
    <w:rsid w:val="00DA504B"/>
    <w:rsid w:val="00DA564D"/>
    <w:rsid w:val="00DB4D87"/>
    <w:rsid w:val="00DC5FE7"/>
    <w:rsid w:val="00DD0817"/>
    <w:rsid w:val="00DE2DA0"/>
    <w:rsid w:val="00DF0578"/>
    <w:rsid w:val="00DF7911"/>
    <w:rsid w:val="00E04E70"/>
    <w:rsid w:val="00E231BD"/>
    <w:rsid w:val="00E24DD0"/>
    <w:rsid w:val="00E42D86"/>
    <w:rsid w:val="00E562F1"/>
    <w:rsid w:val="00E85C78"/>
    <w:rsid w:val="00E8797B"/>
    <w:rsid w:val="00E90FF7"/>
    <w:rsid w:val="00EA445A"/>
    <w:rsid w:val="00EB367F"/>
    <w:rsid w:val="00ED0C9E"/>
    <w:rsid w:val="00EE7288"/>
    <w:rsid w:val="00EE7EC0"/>
    <w:rsid w:val="00EF0F2C"/>
    <w:rsid w:val="00EF502F"/>
    <w:rsid w:val="00EF6BC8"/>
    <w:rsid w:val="00F003FB"/>
    <w:rsid w:val="00F17C8B"/>
    <w:rsid w:val="00F2551E"/>
    <w:rsid w:val="00F25935"/>
    <w:rsid w:val="00F34928"/>
    <w:rsid w:val="00F4031D"/>
    <w:rsid w:val="00F4316E"/>
    <w:rsid w:val="00F4688B"/>
    <w:rsid w:val="00F47AED"/>
    <w:rsid w:val="00F50526"/>
    <w:rsid w:val="00F52333"/>
    <w:rsid w:val="00F573B5"/>
    <w:rsid w:val="00F71DEE"/>
    <w:rsid w:val="00F81C8B"/>
    <w:rsid w:val="00F91BE3"/>
    <w:rsid w:val="00FA5973"/>
    <w:rsid w:val="00FB2BA4"/>
    <w:rsid w:val="00FD23AC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ind w:firstLine="720"/>
      <w:jc w:val="right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ody Text Indent"/>
    <w:basedOn w:val="a"/>
    <w:link w:val="a6"/>
    <w:pPr>
      <w:widowControl/>
      <w:ind w:firstLine="720"/>
      <w:jc w:val="both"/>
    </w:pPr>
  </w:style>
  <w:style w:type="character" w:customStyle="1" w:styleId="a6">
    <w:name w:val="Основной текст с отступом Знак"/>
    <w:basedOn w:val="11"/>
    <w:link w:val="a5"/>
    <w:rPr>
      <w:sz w:val="24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1"/>
    <w:link w:val="a7"/>
    <w:rPr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11"/>
    <w:link w:val="ab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1"/>
    <w:rPr>
      <w:b/>
      <w:sz w:val="28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ody Text"/>
    <w:basedOn w:val="a"/>
    <w:link w:val="af"/>
    <w:pPr>
      <w:widowControl/>
      <w:jc w:val="both"/>
    </w:pPr>
  </w:style>
  <w:style w:type="character" w:customStyle="1" w:styleId="af">
    <w:name w:val="Основной текст Знак"/>
    <w:basedOn w:val="11"/>
    <w:link w:val="ae"/>
    <w:rPr>
      <w:sz w:val="24"/>
    </w:rPr>
  </w:style>
  <w:style w:type="paragraph" w:customStyle="1" w:styleId="16">
    <w:name w:val="Номер страницы1"/>
    <w:basedOn w:val="12"/>
    <w:link w:val="af0"/>
  </w:style>
  <w:style w:type="character" w:styleId="af0">
    <w:name w:val="page number"/>
    <w:basedOn w:val="a0"/>
    <w:link w:val="16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1"/>
    <w:link w:val="2"/>
    <w:rPr>
      <w:i/>
      <w:sz w:val="24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E8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6BA8-FD0C-4139-A5D0-CD70FD3E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Бергелите Инесса Альгирдовна</cp:lastModifiedBy>
  <cp:revision>17</cp:revision>
  <cp:lastPrinted>2022-04-13T12:19:00Z</cp:lastPrinted>
  <dcterms:created xsi:type="dcterms:W3CDTF">2022-04-13T07:24:00Z</dcterms:created>
  <dcterms:modified xsi:type="dcterms:W3CDTF">2022-04-15T06:14:00Z</dcterms:modified>
</cp:coreProperties>
</file>